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1E" w:rsidRPr="00905EEF" w:rsidRDefault="00B722DD" w:rsidP="00B722DD">
      <w:pPr>
        <w:spacing w:after="0" w:line="240" w:lineRule="auto"/>
        <w:ind w:left="708" w:hanging="708"/>
        <w:jc w:val="both"/>
        <w:rPr>
          <w:b/>
          <w:color w:val="BFBFBF" w:themeColor="background1" w:themeShade="BF"/>
          <w:sz w:val="44"/>
        </w:rPr>
      </w:pPr>
      <w:r w:rsidRPr="00905EEF">
        <w:rPr>
          <w:b/>
          <w:color w:val="BFBFBF" w:themeColor="background1" w:themeShade="BF"/>
          <w:sz w:val="44"/>
        </w:rPr>
        <w:t>Planificações</w:t>
      </w:r>
    </w:p>
    <w:p w:rsidR="00B722DD" w:rsidRDefault="00B722DD" w:rsidP="00B722DD">
      <w:pPr>
        <w:spacing w:after="0" w:line="240" w:lineRule="auto"/>
        <w:ind w:left="708" w:hanging="708"/>
        <w:jc w:val="both"/>
      </w:pPr>
    </w:p>
    <w:p w:rsidR="00905EEF" w:rsidRDefault="00905EEF" w:rsidP="00B722DD">
      <w:pPr>
        <w:spacing w:after="0" w:line="240" w:lineRule="auto"/>
        <w:ind w:left="708" w:hanging="708"/>
        <w:jc w:val="both"/>
      </w:pPr>
    </w:p>
    <w:tbl>
      <w:tblPr>
        <w:tblStyle w:val="TableGrid"/>
        <w:tblW w:w="0" w:type="auto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32"/>
        <w:gridCol w:w="2551"/>
        <w:gridCol w:w="2720"/>
        <w:gridCol w:w="2230"/>
      </w:tblGrid>
      <w:tr w:rsidR="00B722DD" w:rsidRPr="00905EEF" w:rsidTr="00B722DD">
        <w:tc>
          <w:tcPr>
            <w:tcW w:w="9633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</w:tcPr>
          <w:p w:rsidR="00B722DD" w:rsidRPr="00905EEF" w:rsidRDefault="00B722DD" w:rsidP="00905EEF">
            <w:pPr>
              <w:autoSpaceDE w:val="0"/>
              <w:autoSpaceDN w:val="0"/>
              <w:adjustRightInd w:val="0"/>
              <w:spacing w:before="24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Unidade letiva 7 – Família e escola</w:t>
            </w:r>
          </w:p>
          <w:p w:rsidR="00B722DD" w:rsidRPr="00905EEF" w:rsidRDefault="009113F0" w:rsidP="00905EEF">
            <w:pPr>
              <w:jc w:val="both"/>
              <w:rPr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>Tempos letivos previstos: 5</w:t>
            </w:r>
            <w:bookmarkStart w:id="0" w:name="_GoBack"/>
            <w:bookmarkEnd w:id="0"/>
          </w:p>
        </w:tc>
      </w:tr>
      <w:tr w:rsidR="00905EEF" w:rsidRPr="00905EEF" w:rsidTr="00905EEF">
        <w:tc>
          <w:tcPr>
            <w:tcW w:w="2132" w:type="dxa"/>
            <w:tcBorders>
              <w:left w:val="nil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Conteúdos</w:t>
            </w:r>
          </w:p>
        </w:tc>
        <w:tc>
          <w:tcPr>
            <w:tcW w:w="2551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Conceitos</w:t>
            </w:r>
          </w:p>
        </w:tc>
        <w:tc>
          <w:tcPr>
            <w:tcW w:w="2720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Objetivos </w:t>
            </w: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de</w:t>
            </w:r>
            <w:proofErr w:type="gramEnd"/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aprendizagem</w:t>
            </w:r>
            <w:proofErr w:type="gramEnd"/>
          </w:p>
        </w:tc>
        <w:tc>
          <w:tcPr>
            <w:tcW w:w="2230" w:type="dxa"/>
            <w:tcBorders>
              <w:left w:val="single" w:sz="4" w:space="0" w:color="2E74B5" w:themeColor="accent1" w:themeShade="BF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Orientações</w:t>
            </w:r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metodológicas</w:t>
            </w:r>
            <w:proofErr w:type="gramEnd"/>
          </w:p>
        </w:tc>
      </w:tr>
      <w:tr w:rsidR="00905EEF" w:rsidRPr="00905EEF" w:rsidTr="00905EEF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722DD" w:rsidRPr="00905EEF" w:rsidRDefault="00B722DD" w:rsidP="00B722DD">
            <w:pPr>
              <w:jc w:val="both"/>
              <w:rPr>
                <w:sz w:val="20"/>
                <w:szCs w:val="20"/>
              </w:rPr>
            </w:pPr>
            <w:r w:rsidRPr="00905EEF">
              <w:rPr>
                <w:rFonts w:cs="DINOT-Medium"/>
                <w:sz w:val="20"/>
                <w:szCs w:val="20"/>
              </w:rPr>
              <w:t xml:space="preserve">7.1. </w:t>
            </w:r>
            <w:r w:rsidRPr="00905EEF">
              <w:rPr>
                <w:rFonts w:cs="DINOT-Regular"/>
                <w:sz w:val="20"/>
                <w:szCs w:val="20"/>
              </w:rPr>
              <w:t>A família ·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Família/Grupo doméstico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Estrutura da família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Tipos de famílias: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905EEF">
              <w:rPr>
                <w:rFonts w:cs="DINOT-Regular"/>
                <w:sz w:val="20"/>
                <w:szCs w:val="20"/>
              </w:rPr>
              <w:t>nuclear</w:t>
            </w:r>
            <w:proofErr w:type="gramEnd"/>
            <w:r w:rsidRPr="00905EEF">
              <w:rPr>
                <w:rFonts w:cs="DINOT-Regular"/>
                <w:sz w:val="20"/>
                <w:szCs w:val="20"/>
              </w:rPr>
              <w:t xml:space="preserve"> (com ou sem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proofErr w:type="gramStart"/>
            <w:r w:rsidRPr="00905EEF">
              <w:rPr>
                <w:rFonts w:cs="DINOT-Regular"/>
                <w:sz w:val="20"/>
                <w:szCs w:val="20"/>
              </w:rPr>
              <w:t>vínculos</w:t>
            </w:r>
            <w:proofErr w:type="gramEnd"/>
            <w:r w:rsidRPr="00905EEF">
              <w:rPr>
                <w:rFonts w:cs="DINOT-Regular"/>
                <w:sz w:val="20"/>
                <w:szCs w:val="20"/>
              </w:rPr>
              <w:t xml:space="preserve"> matrimoniais)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905EEF">
              <w:rPr>
                <w:rFonts w:cs="DINOT-Regular"/>
                <w:sz w:val="20"/>
                <w:szCs w:val="20"/>
              </w:rPr>
              <w:t>monoparentais</w:t>
            </w:r>
            <w:proofErr w:type="gramEnd"/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905EEF">
              <w:rPr>
                <w:rFonts w:cs="DINOT-Regular"/>
                <w:sz w:val="20"/>
                <w:szCs w:val="20"/>
              </w:rPr>
              <w:t>recompostas</w:t>
            </w:r>
            <w:proofErr w:type="gramEnd"/>
            <w:r w:rsidRPr="00905EEF">
              <w:rPr>
                <w:rFonts w:cs="DINOT-Regular"/>
                <w:sz w:val="20"/>
                <w:szCs w:val="20"/>
              </w:rPr>
              <w:t>/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proofErr w:type="gramStart"/>
            <w:r w:rsidRPr="00905EEF">
              <w:rPr>
                <w:rFonts w:cs="DINOT-Regular"/>
                <w:sz w:val="20"/>
                <w:szCs w:val="20"/>
              </w:rPr>
              <w:t>reconstruídas</w:t>
            </w:r>
            <w:proofErr w:type="gramEnd"/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905EEF">
              <w:rPr>
                <w:rFonts w:cs="DINOT-Regular"/>
                <w:sz w:val="20"/>
                <w:szCs w:val="20"/>
              </w:rPr>
              <w:t>homossexuais</w:t>
            </w:r>
            <w:proofErr w:type="gramEnd"/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Novos papéis parentais</w:t>
            </w:r>
          </w:p>
          <w:p w:rsidR="00B722DD" w:rsidRPr="00905EEF" w:rsidRDefault="00B722DD" w:rsidP="00B722DD">
            <w:pPr>
              <w:jc w:val="both"/>
              <w:rPr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Violência intrafamiliar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Definir a família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enquanto grupo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doméstico.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Caracterizar a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estrutura da família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(nupcialidade, divórcio,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fecundidade).</w:t>
            </w:r>
          </w:p>
          <w:p w:rsidR="00B722DD" w:rsidRPr="00905EEF" w:rsidRDefault="00905EEF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Distinguir os tipos de </w:t>
            </w:r>
            <w:r w:rsidR="00B722DD" w:rsidRPr="00905EEF">
              <w:rPr>
                <w:rFonts w:cs="DINOT-Regular"/>
                <w:sz w:val="20"/>
                <w:szCs w:val="20"/>
              </w:rPr>
              <w:t>família (formas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="00B722DD" w:rsidRPr="00905EEF">
              <w:rPr>
                <w:rFonts w:cs="DINOT-Regular"/>
                <w:sz w:val="20"/>
                <w:szCs w:val="20"/>
              </w:rPr>
              <w:t>conjugalidade).</w:t>
            </w:r>
          </w:p>
          <w:p w:rsidR="00B722DD" w:rsidRPr="00905EEF" w:rsidRDefault="00905EEF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Explicar as </w:t>
            </w:r>
            <w:r w:rsidR="00B722DD" w:rsidRPr="00905EEF">
              <w:rPr>
                <w:rFonts w:cs="DINOT-Regular"/>
                <w:sz w:val="20"/>
                <w:szCs w:val="20"/>
              </w:rPr>
              <w:t>transformações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="00B722DD" w:rsidRPr="00905EEF">
              <w:rPr>
                <w:rFonts w:cs="DINOT-Regular"/>
                <w:sz w:val="20"/>
                <w:szCs w:val="20"/>
              </w:rPr>
              <w:t>associadas à vida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="00B722DD" w:rsidRPr="00905EEF">
              <w:rPr>
                <w:rFonts w:cs="DINOT-Regular"/>
                <w:sz w:val="20"/>
                <w:szCs w:val="20"/>
              </w:rPr>
              <w:t>familiar na sociedade</w:t>
            </w:r>
            <w:r>
              <w:rPr>
                <w:rFonts w:cs="DINOT-Regular"/>
                <w:sz w:val="20"/>
                <w:szCs w:val="20"/>
              </w:rPr>
              <w:t xml:space="preserve"> contemporânea </w:t>
            </w:r>
            <w:r w:rsidR="00B722DD" w:rsidRPr="00905EEF">
              <w:rPr>
                <w:rFonts w:cs="DINOT-Regular"/>
                <w:sz w:val="20"/>
                <w:szCs w:val="20"/>
              </w:rPr>
              <w:t>(nomeadamente,</w:t>
            </w:r>
            <w:r>
              <w:rPr>
                <w:rFonts w:cs="DINOT-Regular"/>
                <w:sz w:val="20"/>
                <w:szCs w:val="20"/>
              </w:rPr>
              <w:t xml:space="preserve"> simetria de </w:t>
            </w:r>
            <w:r w:rsidR="00B722DD" w:rsidRPr="00905EEF">
              <w:rPr>
                <w:rFonts w:cs="DINOT-Regular"/>
                <w:sz w:val="20"/>
                <w:szCs w:val="20"/>
              </w:rPr>
              <w:t>contributos e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="00B722DD" w:rsidRPr="00905EEF">
              <w:rPr>
                <w:rFonts w:cs="DINOT-Regular"/>
                <w:sz w:val="20"/>
                <w:szCs w:val="20"/>
              </w:rPr>
              <w:t>participação entre</w:t>
            </w:r>
            <w:r>
              <w:rPr>
                <w:rFonts w:cs="DINOT-Regular"/>
                <w:sz w:val="20"/>
                <w:szCs w:val="20"/>
              </w:rPr>
              <w:t xml:space="preserve"> homens e mulheres, </w:t>
            </w:r>
            <w:r w:rsidR="00B722DD" w:rsidRPr="00905EEF">
              <w:rPr>
                <w:rFonts w:cs="DINOT-Regular"/>
                <w:sz w:val="20"/>
                <w:szCs w:val="20"/>
              </w:rPr>
              <w:t>democratização das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="00B722DD" w:rsidRPr="00905EEF">
              <w:rPr>
                <w:rFonts w:cs="DINOT-Regular"/>
                <w:sz w:val="20"/>
                <w:szCs w:val="20"/>
              </w:rPr>
              <w:t>relações, integração</w:t>
            </w:r>
            <w:r>
              <w:rPr>
                <w:rFonts w:cs="DINOT-Regular"/>
                <w:sz w:val="20"/>
                <w:szCs w:val="20"/>
              </w:rPr>
              <w:t xml:space="preserve"> da afetividade na conjugalidade e novos </w:t>
            </w:r>
            <w:r w:rsidR="00B722DD" w:rsidRPr="00905EEF">
              <w:rPr>
                <w:rFonts w:cs="DINOT-Regular"/>
                <w:sz w:val="20"/>
                <w:szCs w:val="20"/>
              </w:rPr>
              <w:t>papéis parentais).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Referir o papel da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família na socialização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dos filhos.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Relacionar estratégias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educativas e formas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de conjugalidade.</w:t>
            </w:r>
          </w:p>
          <w:p w:rsidR="00B722DD" w:rsidRPr="00905EEF" w:rsidRDefault="00905EEF" w:rsidP="00905EEF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Constatar situações de violência no interior da </w:t>
            </w:r>
            <w:r w:rsidR="00B722DD" w:rsidRPr="00905EEF">
              <w:rPr>
                <w:rFonts w:cs="DINOT-Regular"/>
                <w:sz w:val="20"/>
                <w:szCs w:val="20"/>
              </w:rPr>
              <w:t>família.</w:t>
            </w:r>
          </w:p>
          <w:p w:rsidR="00B722DD" w:rsidRPr="00905EEF" w:rsidRDefault="00B722DD" w:rsidP="00B722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Para introduzir este tema,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recorrer às vivências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familiares dos alunos.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Orientar os alunos na</w:t>
            </w:r>
            <w:r w:rsidR="00905EEF">
              <w:rPr>
                <w:rFonts w:cs="DINOT-Regular"/>
                <w:sz w:val="20"/>
                <w:szCs w:val="20"/>
              </w:rPr>
              <w:t xml:space="preserve"> recolha de informação </w:t>
            </w:r>
            <w:r w:rsidRPr="00905EEF">
              <w:rPr>
                <w:rFonts w:cs="DINOT-Regular"/>
                <w:sz w:val="20"/>
                <w:szCs w:val="20"/>
              </w:rPr>
              <w:t>sobre as novas</w:t>
            </w:r>
            <w:r w:rsidR="00905EEF">
              <w:rPr>
                <w:rFonts w:cs="DINOT-Regular"/>
                <w:sz w:val="20"/>
                <w:szCs w:val="20"/>
              </w:rPr>
              <w:t xml:space="preserve"> conjugalidades e as relações familiares (entre </w:t>
            </w:r>
            <w:r w:rsidRPr="00905EEF">
              <w:rPr>
                <w:rFonts w:cs="DINOT-Regular"/>
                <w:sz w:val="20"/>
                <w:szCs w:val="20"/>
              </w:rPr>
              <w:t>o casal e entre pais e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filhos) em Portugal e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analisar os dados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recolhidos.</w:t>
            </w:r>
          </w:p>
          <w:p w:rsidR="00B722DD" w:rsidRDefault="00B722DD" w:rsidP="00905EEF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A partir de notícias</w:t>
            </w:r>
            <w:r w:rsidR="00905EEF">
              <w:rPr>
                <w:rFonts w:cs="DINOT-Regular"/>
                <w:sz w:val="20"/>
                <w:szCs w:val="20"/>
              </w:rPr>
              <w:t xml:space="preserve"> veiculadas nos meios de comunicação social e recolhidas pelos alunos, debater novas temáticas do âmbito da Sociologia da Família, como, por exemplo, a reprodução medicamente assistida (embriões) e a articulação </w:t>
            </w:r>
            <w:r w:rsidRPr="00905EEF">
              <w:rPr>
                <w:rFonts w:cs="DINOT-Regular"/>
                <w:sz w:val="20"/>
                <w:szCs w:val="20"/>
              </w:rPr>
              <w:t>entre questões biológicas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e éticas/sociais.</w:t>
            </w:r>
          </w:p>
          <w:p w:rsidR="00905EEF" w:rsidRDefault="00905EEF" w:rsidP="00905EEF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  <w:p w:rsidR="00905EEF" w:rsidRPr="00905EEF" w:rsidRDefault="00905EEF" w:rsidP="00905E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22DD" w:rsidRPr="00905EEF" w:rsidTr="00905EEF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722DD" w:rsidRPr="00905EEF" w:rsidRDefault="00B722DD" w:rsidP="00B722DD">
            <w:pPr>
              <w:jc w:val="both"/>
              <w:rPr>
                <w:sz w:val="20"/>
                <w:szCs w:val="20"/>
              </w:rPr>
            </w:pPr>
            <w:r w:rsidRPr="00905EEF">
              <w:rPr>
                <w:rFonts w:cs="DINOT-Medium"/>
                <w:sz w:val="20"/>
                <w:szCs w:val="20"/>
              </w:rPr>
              <w:t xml:space="preserve">7.2. </w:t>
            </w:r>
            <w:r w:rsidRPr="00905EEF">
              <w:rPr>
                <w:rFonts w:cs="DINOT-Regular"/>
                <w:sz w:val="20"/>
                <w:szCs w:val="20"/>
              </w:rPr>
              <w:t>A escola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Escola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Socialização: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905EEF">
              <w:rPr>
                <w:rFonts w:cs="DINOT-Regular"/>
                <w:sz w:val="20"/>
                <w:szCs w:val="20"/>
              </w:rPr>
              <w:t>formal</w:t>
            </w:r>
            <w:proofErr w:type="gramEnd"/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905EEF">
              <w:rPr>
                <w:rFonts w:cs="DINOT-Regular"/>
                <w:sz w:val="20"/>
                <w:szCs w:val="20"/>
              </w:rPr>
              <w:t>informal</w:t>
            </w:r>
            <w:proofErr w:type="gramEnd"/>
          </w:p>
          <w:p w:rsidR="00B722DD" w:rsidRPr="00905EEF" w:rsidRDefault="00B722DD" w:rsidP="00B722DD">
            <w:pPr>
              <w:jc w:val="both"/>
              <w:rPr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Escolaridade obrigatória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B722DD" w:rsidRPr="00905EEF" w:rsidRDefault="00905EEF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Caracterizar as </w:t>
            </w:r>
            <w:r w:rsidR="00B722DD" w:rsidRPr="00905EEF">
              <w:rPr>
                <w:rFonts w:cs="DINOT-Regular"/>
                <w:sz w:val="20"/>
                <w:szCs w:val="20"/>
              </w:rPr>
              <w:t>funções da escola.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Explicitar em que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consistiu a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proofErr w:type="gramStart"/>
            <w:r w:rsidRPr="00905EEF">
              <w:rPr>
                <w:rFonts w:cs="DINOT-Regular"/>
                <w:sz w:val="20"/>
                <w:szCs w:val="20"/>
              </w:rPr>
              <w:t>massificação</w:t>
            </w:r>
            <w:proofErr w:type="gramEnd"/>
            <w:r w:rsidRPr="00905EEF">
              <w:rPr>
                <w:rFonts w:cs="DINOT-Regular"/>
                <w:sz w:val="20"/>
                <w:szCs w:val="20"/>
              </w:rPr>
              <w:t xml:space="preserve"> da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escola.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Relacionar a escola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com a reprodução das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desigualdades sociais.</w:t>
            </w:r>
          </w:p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Contextualizar a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 xml:space="preserve">expansão </w:t>
            </w:r>
            <w:proofErr w:type="gramStart"/>
            <w:r w:rsidRPr="00905EEF">
              <w:rPr>
                <w:rFonts w:cs="DINOT-Regular"/>
                <w:sz w:val="20"/>
                <w:szCs w:val="20"/>
              </w:rPr>
              <w:t>da</w:t>
            </w:r>
            <w:proofErr w:type="gramEnd"/>
          </w:p>
          <w:p w:rsidR="00B722DD" w:rsidRPr="00905EEF" w:rsidRDefault="003953B7" w:rsidP="00B722D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>e</w:t>
            </w:r>
            <w:r w:rsidR="00B722DD" w:rsidRPr="00905EEF">
              <w:rPr>
                <w:rFonts w:cs="DINOT-Regular"/>
                <w:sz w:val="20"/>
                <w:szCs w:val="20"/>
              </w:rPr>
              <w:t>scolaridade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="00B722DD" w:rsidRPr="00905EEF">
              <w:rPr>
                <w:rFonts w:cs="DINOT-Regular"/>
                <w:sz w:val="20"/>
                <w:szCs w:val="20"/>
              </w:rPr>
              <w:t>obrigatória em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="00B722DD" w:rsidRPr="00905EEF">
              <w:rPr>
                <w:rFonts w:cs="DINOT-Regular"/>
                <w:sz w:val="20"/>
                <w:szCs w:val="20"/>
              </w:rPr>
              <w:t>Portugal.</w:t>
            </w:r>
          </w:p>
          <w:p w:rsidR="00B722DD" w:rsidRDefault="00905EEF" w:rsidP="00905EEF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Problematizar o papel </w:t>
            </w:r>
            <w:r w:rsidR="00B722DD" w:rsidRPr="00905EEF">
              <w:rPr>
                <w:rFonts w:cs="DINOT-Regular"/>
                <w:sz w:val="20"/>
                <w:szCs w:val="20"/>
              </w:rPr>
              <w:t>da escola face à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="00B722DD" w:rsidRPr="00905EEF">
              <w:rPr>
                <w:rFonts w:cs="DINOT-Regular"/>
                <w:sz w:val="20"/>
                <w:szCs w:val="20"/>
              </w:rPr>
              <w:t>diversidade cultural.</w:t>
            </w:r>
          </w:p>
          <w:p w:rsidR="00905EEF" w:rsidRDefault="00905EEF" w:rsidP="00B722DD">
            <w:pPr>
              <w:jc w:val="both"/>
              <w:rPr>
                <w:rFonts w:cs="DINOT-Regular"/>
                <w:sz w:val="20"/>
                <w:szCs w:val="20"/>
              </w:rPr>
            </w:pPr>
          </w:p>
          <w:p w:rsidR="00905EEF" w:rsidRPr="00905EEF" w:rsidRDefault="00905EEF" w:rsidP="00B722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B722DD" w:rsidRPr="00905EEF" w:rsidRDefault="00B722DD" w:rsidP="00905E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5EEF">
              <w:rPr>
                <w:rFonts w:cs="DINOT-Regular"/>
                <w:sz w:val="20"/>
                <w:szCs w:val="20"/>
              </w:rPr>
              <w:t>· Orientar os alunos na</w:t>
            </w:r>
            <w:r w:rsidR="00905EEF">
              <w:rPr>
                <w:rFonts w:cs="DINOT-Regular"/>
                <w:sz w:val="20"/>
                <w:szCs w:val="20"/>
              </w:rPr>
              <w:t xml:space="preserve"> recolha e tratamento de dados sobre a taxa de insucesso escolar em </w:t>
            </w:r>
            <w:r w:rsidRPr="00905EEF">
              <w:rPr>
                <w:rFonts w:cs="DINOT-Regular"/>
                <w:sz w:val="20"/>
                <w:szCs w:val="20"/>
              </w:rPr>
              <w:t>Portugal (p</w:t>
            </w:r>
            <w:r w:rsidR="00905EEF">
              <w:rPr>
                <w:rFonts w:cs="DINOT-Regular"/>
                <w:sz w:val="20"/>
                <w:szCs w:val="20"/>
              </w:rPr>
              <w:t xml:space="preserve">or exemplo, na </w:t>
            </w:r>
            <w:r w:rsidRPr="00905EEF">
              <w:rPr>
                <w:rFonts w:cs="DINOT-Regular"/>
                <w:sz w:val="20"/>
                <w:szCs w:val="20"/>
              </w:rPr>
              <w:t>própria escola) e analisar</w:t>
            </w:r>
            <w:r w:rsidR="00905EEF">
              <w:rPr>
                <w:rFonts w:cs="DINOT-Regular"/>
                <w:sz w:val="20"/>
                <w:szCs w:val="20"/>
              </w:rPr>
              <w:t xml:space="preserve"> </w:t>
            </w:r>
            <w:r w:rsidRPr="00905EEF">
              <w:rPr>
                <w:rFonts w:cs="DINOT-Regular"/>
                <w:sz w:val="20"/>
                <w:szCs w:val="20"/>
              </w:rPr>
              <w:t>as conclusões.</w:t>
            </w:r>
          </w:p>
        </w:tc>
      </w:tr>
    </w:tbl>
    <w:p w:rsidR="00B722DD" w:rsidRDefault="00B722DD" w:rsidP="00B722DD">
      <w:pPr>
        <w:spacing w:after="0" w:line="240" w:lineRule="auto"/>
        <w:ind w:left="708" w:hanging="708"/>
        <w:jc w:val="both"/>
      </w:pPr>
    </w:p>
    <w:sectPr w:rsidR="00B722DD" w:rsidSect="00B722DD">
      <w:foot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E07" w:rsidRDefault="00AF5E07" w:rsidP="00AF5E07">
      <w:pPr>
        <w:spacing w:after="0" w:line="240" w:lineRule="auto"/>
      </w:pPr>
      <w:r>
        <w:separator/>
      </w:r>
    </w:p>
  </w:endnote>
  <w:endnote w:type="continuationSeparator" w:id="0">
    <w:p w:rsidR="00AF5E07" w:rsidRDefault="00AF5E07" w:rsidP="00AF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E07" w:rsidRDefault="00AF5E07">
    <w:pPr>
      <w:pStyle w:val="Footer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5656580</wp:posOffset>
          </wp:positionH>
          <wp:positionV relativeFrom="paragraph">
            <wp:posOffset>-6350</wp:posOffset>
          </wp:positionV>
          <wp:extent cx="441960" cy="154940"/>
          <wp:effectExtent l="0" t="0" r="0" b="0"/>
          <wp:wrapTight wrapText="bothSides">
            <wp:wrapPolygon edited="0">
              <wp:start x="0" y="0"/>
              <wp:lineTo x="0" y="18590"/>
              <wp:lineTo x="20483" y="18590"/>
              <wp:lineTo x="2048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15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Pensar a Sociologia; 12.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ano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E07" w:rsidRDefault="00AF5E07" w:rsidP="00AF5E07">
      <w:pPr>
        <w:spacing w:after="0" w:line="240" w:lineRule="auto"/>
      </w:pPr>
      <w:r>
        <w:separator/>
      </w:r>
    </w:p>
  </w:footnote>
  <w:footnote w:type="continuationSeparator" w:id="0">
    <w:p w:rsidR="00AF5E07" w:rsidRDefault="00AF5E07" w:rsidP="00AF5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DD"/>
    <w:rsid w:val="003953B7"/>
    <w:rsid w:val="00905EEF"/>
    <w:rsid w:val="009113F0"/>
    <w:rsid w:val="00AF5E07"/>
    <w:rsid w:val="00B722DD"/>
    <w:rsid w:val="00F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AB2430D-BEFF-47D3-9AC6-DEA1060C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5E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E07"/>
  </w:style>
  <w:style w:type="paragraph" w:styleId="Footer">
    <w:name w:val="footer"/>
    <w:basedOn w:val="Normal"/>
    <w:link w:val="FooterChar"/>
    <w:uiPriority w:val="99"/>
    <w:unhideWhenUsed/>
    <w:rsid w:val="00AF5E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Graça Sousa</cp:lastModifiedBy>
  <cp:revision>5</cp:revision>
  <dcterms:created xsi:type="dcterms:W3CDTF">2015-01-17T23:12:00Z</dcterms:created>
  <dcterms:modified xsi:type="dcterms:W3CDTF">2015-05-21T08:40:00Z</dcterms:modified>
</cp:coreProperties>
</file>