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1E" w:rsidRPr="00905EEF" w:rsidRDefault="00B722DD" w:rsidP="00B722DD">
      <w:pPr>
        <w:spacing w:after="0" w:line="240" w:lineRule="auto"/>
        <w:ind w:left="708" w:hanging="708"/>
        <w:jc w:val="both"/>
        <w:rPr>
          <w:b/>
          <w:color w:val="BFBFBF" w:themeColor="background1" w:themeShade="BF"/>
          <w:sz w:val="44"/>
        </w:rPr>
      </w:pPr>
      <w:r w:rsidRPr="00905EEF">
        <w:rPr>
          <w:b/>
          <w:color w:val="BFBFBF" w:themeColor="background1" w:themeShade="BF"/>
          <w:sz w:val="44"/>
        </w:rPr>
        <w:t>Planificações</w:t>
      </w:r>
    </w:p>
    <w:p w:rsidR="00D17961" w:rsidRDefault="00D17961" w:rsidP="003832E8">
      <w:pPr>
        <w:autoSpaceDE w:val="0"/>
        <w:autoSpaceDN w:val="0"/>
        <w:adjustRightInd w:val="0"/>
        <w:spacing w:after="0" w:line="240" w:lineRule="auto"/>
        <w:rPr>
          <w:rFonts w:cs="DINOT-Bold"/>
          <w:b/>
          <w:bCs/>
          <w:color w:val="00AC4F"/>
          <w:sz w:val="32"/>
          <w:szCs w:val="32"/>
        </w:rPr>
      </w:pPr>
    </w:p>
    <w:p w:rsidR="003832E8" w:rsidRPr="00D17961" w:rsidRDefault="00D17961" w:rsidP="003832E8">
      <w:pPr>
        <w:autoSpaceDE w:val="0"/>
        <w:autoSpaceDN w:val="0"/>
        <w:adjustRightInd w:val="0"/>
        <w:spacing w:after="0" w:line="240" w:lineRule="auto"/>
        <w:rPr>
          <w:rFonts w:cs="DINOT-Bold"/>
          <w:b/>
          <w:bCs/>
          <w:color w:val="486370"/>
          <w:sz w:val="32"/>
          <w:szCs w:val="32"/>
        </w:rPr>
      </w:pPr>
      <w:r w:rsidRPr="00D17961">
        <w:rPr>
          <w:rFonts w:cs="DINOT-Bold"/>
          <w:b/>
          <w:bCs/>
          <w:color w:val="00AC4F"/>
          <w:sz w:val="32"/>
          <w:szCs w:val="32"/>
        </w:rPr>
        <w:t xml:space="preserve">TEMA II </w:t>
      </w:r>
      <w:r w:rsidRPr="00D17961">
        <w:rPr>
          <w:rFonts w:cs="DINOT-Bold"/>
          <w:b/>
          <w:bCs/>
          <w:color w:val="486370"/>
          <w:sz w:val="32"/>
          <w:szCs w:val="32"/>
        </w:rPr>
        <w:t>Sociedade e indivíduo</w:t>
      </w:r>
    </w:p>
    <w:p w:rsidR="00D17961" w:rsidRPr="00D17961" w:rsidRDefault="00D17961" w:rsidP="003832E8">
      <w:pPr>
        <w:autoSpaceDE w:val="0"/>
        <w:autoSpaceDN w:val="0"/>
        <w:adjustRightInd w:val="0"/>
        <w:spacing w:after="0" w:line="240" w:lineRule="auto"/>
        <w:rPr>
          <w:rFonts w:cs="DINOT-Bold"/>
          <w:b/>
          <w:bCs/>
          <w:color w:val="486370"/>
          <w:sz w:val="32"/>
          <w:szCs w:val="38"/>
        </w:rPr>
      </w:pPr>
    </w:p>
    <w:tbl>
      <w:tblPr>
        <w:tblStyle w:val="TableGrid"/>
        <w:tblW w:w="9786" w:type="dxa"/>
        <w:tblInd w:w="-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132"/>
        <w:gridCol w:w="2551"/>
        <w:gridCol w:w="2720"/>
        <w:gridCol w:w="2383"/>
      </w:tblGrid>
      <w:tr w:rsidR="00B722DD" w:rsidRPr="00D17961" w:rsidTr="00C26C86">
        <w:tc>
          <w:tcPr>
            <w:tcW w:w="9786" w:type="dxa"/>
            <w:gridSpan w:val="4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BDD6EE" w:themeFill="accent1" w:themeFillTint="66"/>
          </w:tcPr>
          <w:p w:rsidR="00D17961" w:rsidRPr="00404FFF" w:rsidRDefault="00D17961" w:rsidP="00D17961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404FFF">
              <w:rPr>
                <w:rFonts w:cs="DINOT-Bold"/>
                <w:b/>
                <w:bCs/>
                <w:szCs w:val="20"/>
              </w:rPr>
              <w:t>Unidade letiva 3 – Cultura e socialização</w:t>
            </w:r>
          </w:p>
          <w:p w:rsidR="00B722DD" w:rsidRPr="00D17961" w:rsidRDefault="00604D66" w:rsidP="00D17961">
            <w:pPr>
              <w:jc w:val="both"/>
              <w:rPr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>Tempos letivos previstos: 5</w:t>
            </w:r>
          </w:p>
        </w:tc>
      </w:tr>
      <w:tr w:rsidR="00905EEF" w:rsidRPr="00905EEF" w:rsidTr="00C26C86">
        <w:tc>
          <w:tcPr>
            <w:tcW w:w="2132" w:type="dxa"/>
            <w:tcBorders>
              <w:left w:val="nil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Conteúdos</w:t>
            </w:r>
          </w:p>
        </w:tc>
        <w:tc>
          <w:tcPr>
            <w:tcW w:w="2551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Conceitos</w:t>
            </w:r>
          </w:p>
        </w:tc>
        <w:tc>
          <w:tcPr>
            <w:tcW w:w="2720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 xml:space="preserve">Objetivos </w:t>
            </w: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de</w:t>
            </w:r>
            <w:proofErr w:type="gramEnd"/>
          </w:p>
          <w:p w:rsidR="00B722DD" w:rsidRPr="00905EEF" w:rsidRDefault="00B722DD" w:rsidP="00B722DD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aprendizagem</w:t>
            </w:r>
            <w:proofErr w:type="gramEnd"/>
          </w:p>
        </w:tc>
        <w:tc>
          <w:tcPr>
            <w:tcW w:w="2383" w:type="dxa"/>
            <w:tcBorders>
              <w:left w:val="single" w:sz="4" w:space="0" w:color="2E74B5" w:themeColor="accent1" w:themeShade="BF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Orientações</w:t>
            </w:r>
          </w:p>
          <w:p w:rsidR="00B722DD" w:rsidRPr="00905EEF" w:rsidRDefault="00B722DD" w:rsidP="00B722DD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metodológicas</w:t>
            </w:r>
            <w:proofErr w:type="gramEnd"/>
          </w:p>
        </w:tc>
      </w:tr>
      <w:tr w:rsidR="00905EEF" w:rsidRPr="00D17961" w:rsidTr="00C26C86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B722DD" w:rsidRPr="00D17961" w:rsidRDefault="00D17961" w:rsidP="00C26C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7961">
              <w:rPr>
                <w:rFonts w:cs="DINOT-Medium"/>
                <w:sz w:val="20"/>
                <w:szCs w:val="20"/>
              </w:rPr>
              <w:t xml:space="preserve">3.1. </w:t>
            </w:r>
            <w:r w:rsidRPr="00D17961">
              <w:rPr>
                <w:rFonts w:cs="DINOT-Regular"/>
                <w:sz w:val="20"/>
                <w:szCs w:val="20"/>
              </w:rPr>
              <w:t>Cultura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Cultura</w:t>
            </w:r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Elementos da cultura:</w:t>
            </w:r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D17961">
              <w:rPr>
                <w:rFonts w:cs="DINOT-Regular"/>
                <w:sz w:val="20"/>
                <w:szCs w:val="20"/>
              </w:rPr>
              <w:t>materiais</w:t>
            </w:r>
            <w:proofErr w:type="gramEnd"/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D17961">
              <w:rPr>
                <w:rFonts w:cs="DINOT-Regular"/>
                <w:sz w:val="20"/>
                <w:szCs w:val="20"/>
              </w:rPr>
              <w:t>imateriais</w:t>
            </w:r>
            <w:proofErr w:type="gramEnd"/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Valores</w:t>
            </w:r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Diversidade cultural</w:t>
            </w:r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Padrões de cultura</w:t>
            </w:r>
          </w:p>
          <w:p w:rsidR="00B722DD" w:rsidRPr="00D17961" w:rsidRDefault="00D17961" w:rsidP="00D17961">
            <w:pPr>
              <w:jc w:val="both"/>
              <w:rPr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Etnocentrismo cultural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Definir o conceito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sociológico de cultura.</w:t>
            </w:r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Identificar 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elementos da cultura.</w:t>
            </w:r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Conhecer 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relatividade dos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valores.</w:t>
            </w:r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Explicar a diversidade </w:t>
            </w:r>
            <w:r w:rsidRPr="00D17961">
              <w:rPr>
                <w:rFonts w:cs="DINOT-Regular"/>
                <w:sz w:val="20"/>
                <w:szCs w:val="20"/>
              </w:rPr>
              <w:t>cultural.</w:t>
            </w:r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Definir padrões de </w:t>
            </w:r>
            <w:r w:rsidRPr="00D17961">
              <w:rPr>
                <w:rFonts w:cs="DINOT-Regular"/>
                <w:sz w:val="20"/>
                <w:szCs w:val="20"/>
              </w:rPr>
              <w:t>cultura.</w:t>
            </w:r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Explicar em que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consiste o</w:t>
            </w:r>
            <w:r>
              <w:rPr>
                <w:rFonts w:cs="DINOT-Regular"/>
                <w:sz w:val="20"/>
                <w:szCs w:val="20"/>
              </w:rPr>
              <w:t xml:space="preserve"> etnocentrismo </w:t>
            </w:r>
            <w:r w:rsidRPr="00D17961">
              <w:rPr>
                <w:rFonts w:cs="DINOT-Regular"/>
                <w:sz w:val="20"/>
                <w:szCs w:val="20"/>
              </w:rPr>
              <w:t>cultural.</w:t>
            </w:r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Explicar a socialização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como um processo 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transmissão cultural.</w:t>
            </w:r>
          </w:p>
          <w:p w:rsidR="003832E8" w:rsidRPr="00D17961" w:rsidRDefault="00D17961" w:rsidP="00D179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Analisar o ser humano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como produto 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produtor de cultura.</w:t>
            </w: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Para introduzir este tema,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poder-se-á:</w:t>
            </w:r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D17961">
              <w:rPr>
                <w:rFonts w:cs="DINOT-Regular"/>
                <w:sz w:val="20"/>
                <w:szCs w:val="20"/>
              </w:rPr>
              <w:t>recorrer</w:t>
            </w:r>
            <w:proofErr w:type="gramEnd"/>
            <w:r w:rsidRPr="00D17961">
              <w:rPr>
                <w:rFonts w:cs="DINOT-Regular"/>
                <w:sz w:val="20"/>
                <w:szCs w:val="20"/>
              </w:rPr>
              <w:t xml:space="preserve"> às vivências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dos alunos;</w:t>
            </w:r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D17961">
              <w:rPr>
                <w:rFonts w:cs="DINOT-Regular"/>
                <w:sz w:val="20"/>
                <w:szCs w:val="20"/>
              </w:rPr>
              <w:t>organizar</w:t>
            </w:r>
            <w:proofErr w:type="gramEnd"/>
            <w:r w:rsidRPr="00D17961">
              <w:rPr>
                <w:rFonts w:cs="DINOT-Regular"/>
                <w:sz w:val="20"/>
                <w:szCs w:val="20"/>
              </w:rPr>
              <w:t xml:space="preserve"> o visionamento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de filmes/vídeos;</w:t>
            </w:r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D17961">
              <w:rPr>
                <w:rFonts w:cs="DINOT-Regular"/>
                <w:sz w:val="20"/>
                <w:szCs w:val="20"/>
              </w:rPr>
              <w:t>incentivar</w:t>
            </w:r>
            <w:proofErr w:type="gramEnd"/>
            <w:r w:rsidRPr="00D17961">
              <w:rPr>
                <w:rFonts w:cs="DINOT-Regular"/>
                <w:sz w:val="20"/>
                <w:szCs w:val="20"/>
              </w:rPr>
              <w:t xml:space="preserve"> os alunos a</w:t>
            </w:r>
            <w:r>
              <w:rPr>
                <w:rFonts w:cs="DINOT-Regular"/>
                <w:sz w:val="20"/>
                <w:szCs w:val="20"/>
              </w:rPr>
              <w:t xml:space="preserve"> entrevistar familiares </w:t>
            </w:r>
            <w:r w:rsidRPr="00D17961">
              <w:rPr>
                <w:rFonts w:cs="DINOT-Regular"/>
                <w:sz w:val="20"/>
                <w:szCs w:val="20"/>
              </w:rPr>
              <w:t>para explorar histórias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de vida.</w:t>
            </w:r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Debater diferentes</w:t>
            </w:r>
            <w:r>
              <w:rPr>
                <w:rFonts w:cs="DINOT-Regular"/>
                <w:sz w:val="20"/>
                <w:szCs w:val="20"/>
              </w:rPr>
              <w:t xml:space="preserve"> perspetivas do conceito de </w:t>
            </w:r>
            <w:r w:rsidRPr="00D17961">
              <w:rPr>
                <w:rFonts w:cs="DINOT-Regular"/>
                <w:sz w:val="20"/>
                <w:szCs w:val="20"/>
              </w:rPr>
              <w:t>cultura recorrendo a:</w:t>
            </w:r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D17961">
              <w:rPr>
                <w:rFonts w:cs="DINOT-Regular"/>
                <w:sz w:val="20"/>
                <w:szCs w:val="20"/>
              </w:rPr>
              <w:t>textos</w:t>
            </w:r>
            <w:proofErr w:type="gramEnd"/>
            <w:r w:rsidRPr="00D17961">
              <w:rPr>
                <w:rFonts w:cs="DINOT-Regular"/>
                <w:sz w:val="20"/>
                <w:szCs w:val="20"/>
              </w:rPr>
              <w:t xml:space="preserve"> de autor;</w:t>
            </w:r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20"/>
              </w:rPr>
              <w:t>conceções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de cultura interiorizadas pelos </w:t>
            </w:r>
            <w:r w:rsidRPr="00D17961">
              <w:rPr>
                <w:rFonts w:cs="DINOT-Regular"/>
                <w:sz w:val="20"/>
                <w:szCs w:val="20"/>
              </w:rPr>
              <w:t>alunos.</w:t>
            </w:r>
          </w:p>
          <w:p w:rsidR="00136B52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Fazer um levantamento, com os alunos, de padrões culturais de diferentes grupos e/ou povos, </w:t>
            </w:r>
            <w:r w:rsidRPr="00D17961">
              <w:rPr>
                <w:rFonts w:cs="DINOT-Regular"/>
                <w:sz w:val="20"/>
                <w:szCs w:val="20"/>
              </w:rPr>
              <w:t>nomeadamente ao nível</w:t>
            </w:r>
            <w:r>
              <w:rPr>
                <w:rFonts w:cs="DINOT-Regular"/>
                <w:sz w:val="20"/>
                <w:szCs w:val="20"/>
              </w:rPr>
              <w:t xml:space="preserve"> do </w:t>
            </w:r>
            <w:r w:rsidRPr="00D17961">
              <w:rPr>
                <w:rFonts w:cs="DINOT-Regular"/>
                <w:sz w:val="20"/>
                <w:szCs w:val="20"/>
              </w:rPr>
              <w:t>vestuário, dos hábitos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alimentares e das religiões,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com o objetivo de constatar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a diversidade cultural.</w:t>
            </w:r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722DD" w:rsidRPr="00D17961" w:rsidTr="00C26C86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B722DD" w:rsidRPr="00D17961" w:rsidRDefault="00D17961" w:rsidP="00136B52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Medium"/>
                <w:sz w:val="20"/>
                <w:szCs w:val="20"/>
              </w:rPr>
              <w:t xml:space="preserve">3.2. </w:t>
            </w:r>
            <w:r w:rsidRPr="00D17961">
              <w:rPr>
                <w:rFonts w:cs="DINOT-Regular"/>
                <w:sz w:val="20"/>
                <w:szCs w:val="20"/>
              </w:rPr>
              <w:t>Socialização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Socialização</w:t>
            </w:r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Integração social</w:t>
            </w:r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Mecanismos 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socialização:</w:t>
            </w:r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D17961">
              <w:rPr>
                <w:rFonts w:cs="DINOT-Regular"/>
                <w:sz w:val="20"/>
                <w:szCs w:val="20"/>
              </w:rPr>
              <w:t>aprendizagem</w:t>
            </w:r>
            <w:proofErr w:type="gramEnd"/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D17961">
              <w:rPr>
                <w:rFonts w:cs="DINOT-Regular"/>
                <w:sz w:val="20"/>
                <w:szCs w:val="20"/>
              </w:rPr>
              <w:t>imitação</w:t>
            </w:r>
            <w:proofErr w:type="gramEnd"/>
          </w:p>
          <w:p w:rsidR="00D17961" w:rsidRPr="00D17961" w:rsidRDefault="00D17961" w:rsidP="00D17961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D17961">
              <w:rPr>
                <w:rFonts w:cs="DINOT-Regular"/>
                <w:sz w:val="20"/>
                <w:szCs w:val="20"/>
              </w:rPr>
              <w:t>identificação</w:t>
            </w:r>
            <w:proofErr w:type="gramEnd"/>
          </w:p>
          <w:p w:rsidR="00B722DD" w:rsidRDefault="00D17961" w:rsidP="00D17961">
            <w:pPr>
              <w:jc w:val="both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Agentes de socialização</w:t>
            </w:r>
          </w:p>
          <w:p w:rsidR="00D40E4F" w:rsidRPr="00D17961" w:rsidRDefault="00D40E4F" w:rsidP="00D17961">
            <w:pPr>
              <w:jc w:val="both"/>
              <w:rPr>
                <w:rFonts w:cs="DINOT-Regular"/>
                <w:sz w:val="20"/>
                <w:szCs w:val="20"/>
              </w:rPr>
            </w:pPr>
          </w:p>
          <w:p w:rsidR="00D17961" w:rsidRPr="00D17961" w:rsidRDefault="00D17961" w:rsidP="00D179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905EEF" w:rsidRPr="00D17961" w:rsidRDefault="00905EEF" w:rsidP="00C26C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136B52" w:rsidRPr="00D17961" w:rsidRDefault="00136B52" w:rsidP="00C26C86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</w:p>
        </w:tc>
      </w:tr>
    </w:tbl>
    <w:p w:rsidR="00D17961" w:rsidRDefault="00D17961" w:rsidP="00B722DD">
      <w:pPr>
        <w:spacing w:after="0" w:line="240" w:lineRule="auto"/>
        <w:ind w:left="708" w:hanging="708"/>
        <w:jc w:val="both"/>
      </w:pPr>
    </w:p>
    <w:p w:rsidR="00D17961" w:rsidRDefault="00D17961">
      <w:r>
        <w:br w:type="page"/>
      </w:r>
    </w:p>
    <w:p w:rsidR="00BE485D" w:rsidRDefault="00BE485D" w:rsidP="00B722DD">
      <w:pPr>
        <w:spacing w:after="0" w:line="240" w:lineRule="auto"/>
        <w:ind w:left="708" w:hanging="708"/>
        <w:jc w:val="both"/>
      </w:pPr>
    </w:p>
    <w:p w:rsidR="00C26C86" w:rsidRDefault="00C26C86" w:rsidP="00B722DD">
      <w:pPr>
        <w:spacing w:after="0" w:line="240" w:lineRule="auto"/>
        <w:ind w:left="708" w:hanging="708"/>
        <w:jc w:val="both"/>
      </w:pPr>
    </w:p>
    <w:tbl>
      <w:tblPr>
        <w:tblStyle w:val="TableGrid"/>
        <w:tblW w:w="9786" w:type="dxa"/>
        <w:tblInd w:w="-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132"/>
        <w:gridCol w:w="2551"/>
        <w:gridCol w:w="2720"/>
        <w:gridCol w:w="2383"/>
      </w:tblGrid>
      <w:tr w:rsidR="00D17961" w:rsidRPr="00D17961" w:rsidTr="00471F9B">
        <w:tc>
          <w:tcPr>
            <w:tcW w:w="9786" w:type="dxa"/>
            <w:gridSpan w:val="4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BDD6EE" w:themeFill="accent1" w:themeFillTint="66"/>
          </w:tcPr>
          <w:p w:rsidR="00D17961" w:rsidRPr="00404FFF" w:rsidRDefault="00D17961" w:rsidP="00471F9B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404FFF">
              <w:rPr>
                <w:rFonts w:cs="DINOT-Bold"/>
                <w:b/>
                <w:bCs/>
                <w:szCs w:val="20"/>
              </w:rPr>
              <w:t xml:space="preserve">Unidade letiva 3 – Cultura e socialização </w:t>
            </w:r>
            <w:r w:rsidRPr="00404FFF">
              <w:rPr>
                <w:rFonts w:cs="DINOT-Bold"/>
                <w:bCs/>
                <w:szCs w:val="20"/>
              </w:rPr>
              <w:t>(continuação)</w:t>
            </w:r>
          </w:p>
          <w:p w:rsidR="00D17961" w:rsidRPr="00D17961" w:rsidRDefault="00604D66" w:rsidP="00471F9B">
            <w:pPr>
              <w:jc w:val="both"/>
              <w:rPr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>Tempos letivos previstos: 5</w:t>
            </w:r>
            <w:bookmarkStart w:id="0" w:name="_GoBack"/>
            <w:bookmarkEnd w:id="0"/>
          </w:p>
        </w:tc>
      </w:tr>
      <w:tr w:rsidR="00D17961" w:rsidRPr="00905EEF" w:rsidTr="00471F9B">
        <w:tc>
          <w:tcPr>
            <w:tcW w:w="2132" w:type="dxa"/>
            <w:tcBorders>
              <w:left w:val="nil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D17961" w:rsidRPr="00905EEF" w:rsidRDefault="00D17961" w:rsidP="00471F9B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Conteúdos</w:t>
            </w:r>
          </w:p>
        </w:tc>
        <w:tc>
          <w:tcPr>
            <w:tcW w:w="2551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D17961" w:rsidRPr="00905EEF" w:rsidRDefault="00D17961" w:rsidP="00471F9B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Conceitos</w:t>
            </w:r>
          </w:p>
        </w:tc>
        <w:tc>
          <w:tcPr>
            <w:tcW w:w="2720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D17961" w:rsidRPr="00905EEF" w:rsidRDefault="00D17961" w:rsidP="00471F9B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 xml:space="preserve">Objetivos </w:t>
            </w: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de</w:t>
            </w:r>
            <w:proofErr w:type="gramEnd"/>
          </w:p>
          <w:p w:rsidR="00D17961" w:rsidRPr="00905EEF" w:rsidRDefault="00D17961" w:rsidP="00471F9B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aprendizagem</w:t>
            </w:r>
            <w:proofErr w:type="gramEnd"/>
          </w:p>
        </w:tc>
        <w:tc>
          <w:tcPr>
            <w:tcW w:w="2383" w:type="dxa"/>
            <w:tcBorders>
              <w:left w:val="single" w:sz="4" w:space="0" w:color="2E74B5" w:themeColor="accent1" w:themeShade="BF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D17961" w:rsidRPr="00905EEF" w:rsidRDefault="00D17961" w:rsidP="00471F9B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Orientações</w:t>
            </w:r>
          </w:p>
          <w:p w:rsidR="00D17961" w:rsidRPr="00905EEF" w:rsidRDefault="00D17961" w:rsidP="00471F9B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metodológicas</w:t>
            </w:r>
            <w:proofErr w:type="gramEnd"/>
          </w:p>
        </w:tc>
      </w:tr>
      <w:tr w:rsidR="00D17961" w:rsidRPr="00D17961" w:rsidTr="00471F9B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D17961" w:rsidRPr="00D17961" w:rsidRDefault="00D17961" w:rsidP="00471F9B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Medium"/>
                <w:sz w:val="20"/>
                <w:szCs w:val="20"/>
              </w:rPr>
              <w:t>3.3.</w:t>
            </w:r>
            <w:r>
              <w:rPr>
                <w:rFonts w:cs="DINOT-Medium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Representações</w:t>
            </w:r>
          </w:p>
          <w:p w:rsidR="00D17961" w:rsidRPr="00D17961" w:rsidRDefault="00D17961" w:rsidP="00471F9B">
            <w:pPr>
              <w:autoSpaceDE w:val="0"/>
              <w:autoSpaceDN w:val="0"/>
              <w:adjustRightInd w:val="0"/>
              <w:rPr>
                <w:rFonts w:cs="DINOT-Medium"/>
                <w:sz w:val="20"/>
                <w:szCs w:val="20"/>
              </w:rPr>
            </w:pPr>
            <w:proofErr w:type="gramStart"/>
            <w:r w:rsidRPr="00D17961">
              <w:rPr>
                <w:rFonts w:cs="DINOT-Regular"/>
                <w:sz w:val="20"/>
                <w:szCs w:val="20"/>
              </w:rPr>
              <w:t>sociais</w:t>
            </w:r>
            <w:proofErr w:type="gramEnd"/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D17961" w:rsidRPr="00D17961" w:rsidRDefault="00D17961" w:rsidP="00471F9B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Representação social</w:t>
            </w:r>
          </w:p>
          <w:p w:rsidR="00D17961" w:rsidRPr="00D17961" w:rsidRDefault="00D17961" w:rsidP="00471F9B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Símbolos</w:t>
            </w:r>
          </w:p>
          <w:p w:rsidR="00D17961" w:rsidRPr="00D17961" w:rsidRDefault="00D17961" w:rsidP="00471F9B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Estigma</w:t>
            </w:r>
          </w:p>
          <w:p w:rsidR="00D17961" w:rsidRPr="00D17961" w:rsidRDefault="00D17961" w:rsidP="00471F9B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Trabalho/Lazer</w:t>
            </w:r>
          </w:p>
          <w:p w:rsidR="00D17961" w:rsidRPr="00D17961" w:rsidRDefault="00D17961" w:rsidP="00471F9B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Sociologia do quotidiano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D17961" w:rsidRPr="00D17961" w:rsidRDefault="00D17961" w:rsidP="00471F9B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Dar uma noção 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representação social.</w:t>
            </w:r>
          </w:p>
          <w:p w:rsidR="00D17961" w:rsidRPr="00D17961" w:rsidRDefault="00D17961" w:rsidP="00471F9B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Explicar o papel dos </w:t>
            </w:r>
            <w:r w:rsidRPr="00D17961">
              <w:rPr>
                <w:rFonts w:cs="DINOT-Regular"/>
                <w:sz w:val="20"/>
                <w:szCs w:val="20"/>
              </w:rPr>
              <w:t>meios de comunicação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social na divulgação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das representações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 xml:space="preserve">sociais (valores </w:t>
            </w:r>
            <w:r>
              <w:rPr>
                <w:rFonts w:cs="DINOT-Regular"/>
                <w:sz w:val="20"/>
                <w:szCs w:val="20"/>
              </w:rPr>
              <w:t xml:space="preserve">e </w:t>
            </w:r>
            <w:r w:rsidRPr="00D17961">
              <w:rPr>
                <w:rFonts w:cs="DINOT-Regular"/>
                <w:sz w:val="20"/>
                <w:szCs w:val="20"/>
              </w:rPr>
              <w:t>símbolos que lhes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estão associados).</w:t>
            </w:r>
          </w:p>
          <w:p w:rsidR="00D17961" w:rsidRPr="00D17961" w:rsidRDefault="00D17961" w:rsidP="00471F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Identificar novas</w:t>
            </w:r>
            <w:r>
              <w:rPr>
                <w:rFonts w:cs="DINOT-Regular"/>
                <w:sz w:val="20"/>
                <w:szCs w:val="20"/>
              </w:rPr>
              <w:t xml:space="preserve"> representações sobre, nomeadamente, o </w:t>
            </w:r>
            <w:r w:rsidRPr="00D17961">
              <w:rPr>
                <w:rFonts w:cs="DINOT-Regular"/>
                <w:sz w:val="20"/>
                <w:szCs w:val="20"/>
              </w:rPr>
              <w:t>corpo, a criança, 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juventude, o trabalho,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a mulher e o lazer.</w:t>
            </w: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D17961" w:rsidRPr="00D17961" w:rsidRDefault="00D17961" w:rsidP="00471F9B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>· A partir da organização da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turma em grupos, os</w:t>
            </w:r>
            <w:r>
              <w:rPr>
                <w:rFonts w:cs="DINOT-Regular"/>
                <w:sz w:val="20"/>
                <w:szCs w:val="20"/>
              </w:rPr>
              <w:t xml:space="preserve"> alunos, orientados pelo </w:t>
            </w:r>
            <w:r w:rsidRPr="00D17961">
              <w:rPr>
                <w:rFonts w:cs="DINOT-Regular"/>
                <w:sz w:val="20"/>
                <w:szCs w:val="20"/>
              </w:rPr>
              <w:t>professor, poderão:</w:t>
            </w:r>
          </w:p>
          <w:p w:rsidR="00D17961" w:rsidRPr="00D17961" w:rsidRDefault="00D17961" w:rsidP="00471F9B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D17961">
              <w:rPr>
                <w:rFonts w:cs="DINOT-Regular"/>
                <w:sz w:val="20"/>
                <w:szCs w:val="20"/>
              </w:rPr>
              <w:t>re</w:t>
            </w:r>
            <w:r>
              <w:rPr>
                <w:rFonts w:cs="DINOT-Regular"/>
                <w:sz w:val="20"/>
                <w:szCs w:val="20"/>
              </w:rPr>
              <w:t>colher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informações sobre novas representações sociais referentes ao corpo, à juventude, à mulher e </w:t>
            </w:r>
            <w:r w:rsidRPr="00D17961">
              <w:rPr>
                <w:rFonts w:cs="DINOT-Regular"/>
                <w:sz w:val="20"/>
                <w:szCs w:val="20"/>
              </w:rPr>
              <w:t>ao lazer, por exemplo,</w:t>
            </w:r>
            <w:r>
              <w:rPr>
                <w:rFonts w:cs="DINOT-Regular"/>
                <w:sz w:val="20"/>
                <w:szCs w:val="20"/>
              </w:rPr>
              <w:t xml:space="preserve"> através da recolha fotográfica e/ou em </w:t>
            </w:r>
            <w:r w:rsidRPr="00D17961">
              <w:rPr>
                <w:rFonts w:cs="DINOT-Regular"/>
                <w:sz w:val="20"/>
                <w:szCs w:val="20"/>
              </w:rPr>
              <w:t>vídeo de anúncios 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D17961">
              <w:rPr>
                <w:rFonts w:cs="DINOT-Regular"/>
                <w:sz w:val="20"/>
                <w:szCs w:val="20"/>
              </w:rPr>
              <w:t>publicidade;</w:t>
            </w:r>
          </w:p>
          <w:p w:rsidR="00D17961" w:rsidRPr="00D17961" w:rsidRDefault="00D17961" w:rsidP="00471F9B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D17961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D17961">
              <w:rPr>
                <w:rFonts w:cs="DINOT-Regular"/>
                <w:sz w:val="20"/>
                <w:szCs w:val="20"/>
              </w:rPr>
              <w:t>organizar</w:t>
            </w:r>
            <w:proofErr w:type="gramEnd"/>
            <w:r w:rsidRPr="00D17961">
              <w:rPr>
                <w:rFonts w:cs="DINOT-Regular"/>
                <w:sz w:val="20"/>
                <w:szCs w:val="20"/>
              </w:rPr>
              <w:t xml:space="preserve"> um dossiê</w:t>
            </w:r>
            <w:r>
              <w:rPr>
                <w:rFonts w:cs="DINOT-Regular"/>
                <w:sz w:val="20"/>
                <w:szCs w:val="20"/>
              </w:rPr>
              <w:t xml:space="preserve"> temático a partir da </w:t>
            </w:r>
            <w:r w:rsidRPr="00D17961">
              <w:rPr>
                <w:rFonts w:cs="DINOT-Regular"/>
                <w:sz w:val="20"/>
                <w:szCs w:val="20"/>
              </w:rPr>
              <w:t>informação recolhida;</w:t>
            </w:r>
          </w:p>
          <w:p w:rsidR="00D17961" w:rsidRDefault="00D17961" w:rsidP="00471F9B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cs="DINOT-Regular"/>
                <w:sz w:val="20"/>
                <w:szCs w:val="20"/>
              </w:rPr>
              <w:t>sistematizar</w:t>
            </w:r>
            <w:proofErr w:type="gramEnd"/>
            <w:r>
              <w:rPr>
                <w:rFonts w:cs="DINOT-Regular"/>
                <w:sz w:val="20"/>
                <w:szCs w:val="20"/>
              </w:rPr>
              <w:t xml:space="preserve"> e debater </w:t>
            </w:r>
            <w:r w:rsidRPr="00D17961">
              <w:rPr>
                <w:rFonts w:cs="DINOT-Regular"/>
                <w:sz w:val="20"/>
                <w:szCs w:val="20"/>
              </w:rPr>
              <w:t>as conclusões.</w:t>
            </w:r>
          </w:p>
          <w:p w:rsidR="00D40E4F" w:rsidRDefault="00D40E4F" w:rsidP="00471F9B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</w:p>
          <w:p w:rsidR="00D17961" w:rsidRPr="00D17961" w:rsidRDefault="00D17961" w:rsidP="00471F9B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</w:p>
        </w:tc>
      </w:tr>
    </w:tbl>
    <w:p w:rsidR="00C26C86" w:rsidRDefault="00C26C86" w:rsidP="00B722DD">
      <w:pPr>
        <w:spacing w:after="0" w:line="240" w:lineRule="auto"/>
        <w:ind w:left="708" w:hanging="708"/>
        <w:jc w:val="both"/>
      </w:pPr>
    </w:p>
    <w:sectPr w:rsidR="00C26C86" w:rsidSect="00B722DD">
      <w:foot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37B" w:rsidRDefault="002C437B" w:rsidP="002C437B">
      <w:pPr>
        <w:spacing w:after="0" w:line="240" w:lineRule="auto"/>
      </w:pPr>
      <w:r>
        <w:separator/>
      </w:r>
    </w:p>
  </w:endnote>
  <w:endnote w:type="continuationSeparator" w:id="0">
    <w:p w:rsidR="002C437B" w:rsidRDefault="002C437B" w:rsidP="002C4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O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37B" w:rsidRDefault="002C437B">
    <w:pPr>
      <w:pStyle w:val="Footer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5656580</wp:posOffset>
          </wp:positionH>
          <wp:positionV relativeFrom="paragraph">
            <wp:posOffset>-6350</wp:posOffset>
          </wp:positionV>
          <wp:extent cx="441960" cy="154940"/>
          <wp:effectExtent l="0" t="0" r="0" b="0"/>
          <wp:wrapTight wrapText="bothSides">
            <wp:wrapPolygon edited="0">
              <wp:start x="0" y="0"/>
              <wp:lineTo x="0" y="18590"/>
              <wp:lineTo x="20483" y="18590"/>
              <wp:lineTo x="2048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15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Pensar a Sociologia; 12.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ano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37B" w:rsidRDefault="002C437B" w:rsidP="002C437B">
      <w:pPr>
        <w:spacing w:after="0" w:line="240" w:lineRule="auto"/>
      </w:pPr>
      <w:r>
        <w:separator/>
      </w:r>
    </w:p>
  </w:footnote>
  <w:footnote w:type="continuationSeparator" w:id="0">
    <w:p w:rsidR="002C437B" w:rsidRDefault="002C437B" w:rsidP="002C4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DD"/>
    <w:rsid w:val="00136B52"/>
    <w:rsid w:val="002C437B"/>
    <w:rsid w:val="003832E8"/>
    <w:rsid w:val="00404FFF"/>
    <w:rsid w:val="00604D66"/>
    <w:rsid w:val="00905EEF"/>
    <w:rsid w:val="00B722DD"/>
    <w:rsid w:val="00BE485D"/>
    <w:rsid w:val="00C26C86"/>
    <w:rsid w:val="00D17961"/>
    <w:rsid w:val="00D40E4F"/>
    <w:rsid w:val="00FB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AB2430D-BEFF-47D3-9AC6-DEA1060C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37B"/>
  </w:style>
  <w:style w:type="paragraph" w:styleId="Footer">
    <w:name w:val="footer"/>
    <w:basedOn w:val="Normal"/>
    <w:link w:val="FooterChar"/>
    <w:uiPriority w:val="99"/>
    <w:unhideWhenUsed/>
    <w:rsid w:val="002C4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Graça Sousa</cp:lastModifiedBy>
  <cp:revision>6</cp:revision>
  <dcterms:created xsi:type="dcterms:W3CDTF">2015-02-02T23:55:00Z</dcterms:created>
  <dcterms:modified xsi:type="dcterms:W3CDTF">2015-05-21T08:39:00Z</dcterms:modified>
</cp:coreProperties>
</file>