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24" w:rsidRDefault="00D52780" w:rsidP="00D52780">
      <w:pPr>
        <w:spacing w:before="0"/>
        <w:rPr>
          <w:rFonts w:asciiTheme="minorHAnsi" w:hAnsiTheme="minorHAnsi" w:cs="VAGRoundedStd-Light"/>
          <w:color w:val="595743"/>
          <w:sz w:val="28"/>
          <w:szCs w:val="18"/>
        </w:rPr>
      </w:pPr>
      <w:r>
        <w:rPr>
          <w:rFonts w:asciiTheme="minorHAnsi" w:hAnsiTheme="minorHAnsi"/>
          <w:noProof/>
          <w:sz w:val="24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-544195</wp:posOffset>
                </wp:positionV>
                <wp:extent cx="7848600" cy="504825"/>
                <wp:effectExtent l="0" t="0" r="0" b="9525"/>
                <wp:wrapNone/>
                <wp:docPr id="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48600" cy="504825"/>
                          <a:chOff x="-36" y="0"/>
                          <a:chExt cx="12360" cy="795"/>
                        </a:xfrm>
                      </wpg:grpSpPr>
                      <wps:wsp>
                        <wps:cNvPr id="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-36" y="0"/>
                            <a:ext cx="12195" cy="78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345" y="165"/>
                            <a:ext cx="5979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81874" w:rsidRPr="00A743DA" w:rsidRDefault="00A743DA" w:rsidP="00A743DA">
                              <w:pPr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 w:rsidRPr="00A743DA">
                                <w:rPr>
                                  <w:rFonts w:asciiTheme="minorHAnsi" w:hAnsiTheme="minorHAnsi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Orientações para o teu estudo!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4" o:spid="_x0000_s1026" style="position:absolute;left:0;text-align:left;margin-left:-58.3pt;margin-top:-42.85pt;width:618pt;height:39.75pt;z-index:251830272;mso-width-relative:margin;mso-height-relative:margin" coordorigin="-36" coordsize="1236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">
                <v:rect id="Rectangle 2" o:spid="_x0000_s1027" style="position:absolute;left:-36;width:12195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vFnMMA&#10;AADaAAAADwAAAGRycy9kb3ducmV2LnhtbESPQYvCMBSE74L/ITzBm6YWFKlGEXHFgyjb9eDx2Tzb&#10;YvPSbaLW/fWbBWGPw8x8w8yXranEgxpXWlYwGkYgiDOrS84VnL4+BlMQziNrrCyTghc5WC66nTkm&#10;2j75kx6pz0WAsEtQQeF9nUjpsoIMuqGtiYN3tY1BH2STS93gM8BNJeMomkiDJYeFAmtaF5Td0rtR&#10;EO/j89ZutuXP5cyjb3s4Rml9VKrfa1czEJ5a/x9+t3dawRj+roQb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vFnMMAAADaAAAADwAAAAAAAAAAAAAAAACYAgAAZHJzL2Rv&#10;d25yZXYueG1sUEsFBgAAAAAEAAQA9QAAAIgDAAAAAA==&#10;" fillcolor="#ffc00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6345;top:165;width:5979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381874" w:rsidRPr="00A743DA" w:rsidRDefault="00A743DA" w:rsidP="00A743DA">
                        <w:pPr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32"/>
                          </w:rPr>
                        </w:pPr>
                        <w:r w:rsidRPr="00A743DA">
                          <w:rPr>
                            <w:rFonts w:asciiTheme="minorHAnsi" w:hAnsiTheme="minorHAnsi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Orientações para o teu estudo!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10EE">
        <w:rPr>
          <w:rFonts w:asciiTheme="minorHAnsi" w:hAnsi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438F7D6" wp14:editId="0888ADA1">
                <wp:simplePos x="0" y="0"/>
                <wp:positionH relativeFrom="column">
                  <wp:posOffset>6233795</wp:posOffset>
                </wp:positionH>
                <wp:positionV relativeFrom="paragraph">
                  <wp:posOffset>-445135</wp:posOffset>
                </wp:positionV>
                <wp:extent cx="414655" cy="400050"/>
                <wp:effectExtent l="635" t="0" r="3810" b="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400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5EA3" w:rsidRPr="00315EA3" w:rsidRDefault="004049A8" w:rsidP="007073A9">
                            <w:pPr>
                              <w:spacing w:before="0"/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5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8F7D6" id="Text Box 14" o:spid="_x0000_s1029" type="#_x0000_t202" style="position:absolute;left:0;text-align:left;margin-left:490.85pt;margin-top:-35.05pt;width:32.65pt;height:31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" fillcolor="#fbd4b4 [1305]" stroked="f">
                <v:textbox>
                  <w:txbxContent>
                    <w:p w:rsidR="00315EA3" w:rsidRPr="00315EA3" w:rsidRDefault="004049A8" w:rsidP="007073A9">
                      <w:pPr>
                        <w:spacing w:before="0"/>
                        <w:rPr>
                          <w:rFonts w:asciiTheme="minorHAnsi" w:hAnsiTheme="minorHAnsi"/>
                          <w:b/>
                          <w:sz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5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D52780" w:rsidRDefault="00D52780" w:rsidP="00D52780">
      <w:pPr>
        <w:pStyle w:val="Default"/>
      </w:pPr>
    </w:p>
    <w:p w:rsidR="00D52780" w:rsidRDefault="00D52780" w:rsidP="00D52780">
      <w:pPr>
        <w:pStyle w:val="Default"/>
        <w:spacing w:line="276" w:lineRule="auto"/>
        <w:jc w:val="center"/>
        <w:rPr>
          <w:rFonts w:asciiTheme="minorHAnsi" w:hAnsiTheme="minorHAnsi" w:cs="Times New Roman"/>
          <w:b/>
          <w:color w:val="404040" w:themeColor="text1" w:themeTint="BF"/>
          <w:szCs w:val="22"/>
        </w:rPr>
        <w:sectPr w:rsidR="00D52780" w:rsidSect="00D52780">
          <w:type w:val="continuous"/>
          <w:pgSz w:w="11906" w:h="16838"/>
          <w:pgMar w:top="737" w:right="851" w:bottom="737" w:left="851" w:header="709" w:footer="709" w:gutter="0"/>
          <w:cols w:num="2" w:space="708"/>
          <w:docGrid w:linePitch="360"/>
        </w:sectPr>
      </w:pPr>
    </w:p>
    <w:p w:rsidR="00430E29" w:rsidRPr="00430E29" w:rsidRDefault="00430E29" w:rsidP="00430E29">
      <w:pPr>
        <w:widowControl/>
        <w:spacing w:before="0" w:line="271" w:lineRule="atLeast"/>
        <w:jc w:val="left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lastRenderedPageBreak/>
        <w:t>F</w:t>
      </w:r>
      <w:r w:rsidR="00113376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>icha de avaliação sumativa n.º 3</w:t>
      </w:r>
      <w:r w:rsidRPr="00430E29">
        <w:rPr>
          <w:rFonts w:asciiTheme="minorHAnsi" w:hAnsiTheme="minorHAns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F846C4" w:rsidRDefault="00113376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  <w:r>
        <w:rPr>
          <w:rFonts w:asciiTheme="minorHAnsi" w:hAnsiTheme="minorHAnsi" w:cs="DINOT-Regular"/>
          <w:color w:val="auto"/>
        </w:rPr>
        <w:t>Aproxima-se o terceir</w:t>
      </w:r>
      <w:r w:rsidR="00430E29" w:rsidRPr="00430E29">
        <w:rPr>
          <w:rFonts w:asciiTheme="minorHAnsi" w:hAnsiTheme="minorHAnsi" w:cs="DINOT-Regular"/>
          <w:color w:val="auto"/>
        </w:rPr>
        <w:t>o momento de avaliação sumativa. Verifica, então, as tuas aprendizagens. Presta atenção aos indicadores das questões que poderão integrar a ficha de avaliação.</w:t>
      </w:r>
    </w:p>
    <w:p w:rsidR="00430E29" w:rsidRPr="00430E29" w:rsidRDefault="00430E29" w:rsidP="00430E29">
      <w:pPr>
        <w:pStyle w:val="Default"/>
        <w:spacing w:line="276" w:lineRule="auto"/>
        <w:rPr>
          <w:rFonts w:asciiTheme="minorHAnsi" w:hAnsiTheme="minorHAnsi" w:cs="DINOT-Regular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708"/>
        <w:gridCol w:w="709"/>
        <w:gridCol w:w="1552"/>
      </w:tblGrid>
      <w:tr w:rsidR="00F846C4" w:rsidRPr="004849EC" w:rsidTr="004849EC">
        <w:tc>
          <w:tcPr>
            <w:tcW w:w="7225" w:type="dxa"/>
            <w:gridSpan w:val="2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F846C4">
              <w:rPr>
                <w:rFonts w:asciiTheme="minorHAnsi" w:hAnsiTheme="minorHAnsi" w:cs="VAG Rounded Std Thin"/>
                <w:b/>
                <w:bCs/>
                <w:color w:val="FFFFFF" w:themeColor="background1"/>
                <w:sz w:val="20"/>
                <w:szCs w:val="22"/>
              </w:rPr>
              <w:t>Metas Curriculares</w:t>
            </w:r>
          </w:p>
        </w:tc>
        <w:tc>
          <w:tcPr>
            <w:tcW w:w="708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Sim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  <w:r w:rsidRPr="004849EC"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  <w:t>Não</w:t>
            </w:r>
          </w:p>
        </w:tc>
        <w:tc>
          <w:tcPr>
            <w:tcW w:w="1552" w:type="dxa"/>
            <w:shd w:val="clear" w:color="auto" w:fill="595959" w:themeFill="text1" w:themeFillTint="A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F846C4" w:rsidRPr="004849EC">
              <w:tblPrEx>
                <w:tblCellMar>
                  <w:top w:w="0" w:type="dxa"/>
                  <w:bottom w:w="0" w:type="dxa"/>
                </w:tblCellMar>
              </w:tblPrEx>
              <w:trPr>
                <w:trHeight w:val="244"/>
              </w:trPr>
              <w:tc>
                <w:tcPr>
                  <w:tcW w:w="0" w:type="auto"/>
                </w:tcPr>
                <w:p w:rsidR="00F846C4" w:rsidRPr="00F846C4" w:rsidRDefault="00F846C4" w:rsidP="00F846C4">
                  <w:pPr>
                    <w:widowControl/>
                    <w:spacing w:before="0" w:line="201" w:lineRule="atLeast"/>
                    <w:jc w:val="center"/>
                    <w:rPr>
                      <w:rFonts w:asciiTheme="minorHAnsi" w:hAnsiTheme="minorHAnsi" w:cs="VAG Rounded Std Thin"/>
                      <w:color w:val="FFFFFF" w:themeColor="background1"/>
                      <w:szCs w:val="22"/>
                    </w:rPr>
                  </w:pPr>
                  <w:r w:rsidRPr="00F846C4">
                    <w:rPr>
                      <w:rFonts w:asciiTheme="minorHAnsi" w:hAnsiTheme="minorHAnsi" w:cs="VAG Rounded Std Thin"/>
                      <w:b/>
                      <w:bCs/>
                      <w:color w:val="FFFFFF" w:themeColor="background1"/>
                      <w:szCs w:val="22"/>
                    </w:rPr>
                    <w:t>Páginas do Manual</w:t>
                  </w:r>
                </w:p>
              </w:tc>
            </w:tr>
          </w:tbl>
          <w:p w:rsidR="00F846C4" w:rsidRPr="004849EC" w:rsidRDefault="00F846C4" w:rsidP="00F846C4">
            <w:pPr>
              <w:pStyle w:val="Default"/>
              <w:spacing w:line="276" w:lineRule="auto"/>
              <w:jc w:val="center"/>
              <w:rPr>
                <w:rFonts w:asciiTheme="minorHAnsi" w:hAnsiTheme="minorHAnsi" w:cs="VAGRoundedStd-Light"/>
                <w:color w:val="FFFFFF" w:themeColor="background1"/>
                <w:sz w:val="20"/>
                <w:szCs w:val="22"/>
              </w:rPr>
            </w:pPr>
          </w:p>
        </w:tc>
      </w:tr>
      <w:tr w:rsidR="00F846C4" w:rsidRPr="004849EC" w:rsidTr="004849EC">
        <w:tc>
          <w:tcPr>
            <w:tcW w:w="2122" w:type="dxa"/>
            <w:shd w:val="clear" w:color="auto" w:fill="A6A6A6" w:themeFill="background1" w:themeFillShade="A6"/>
          </w:tcPr>
          <w:p w:rsidR="00F846C4" w:rsidRPr="004849EC" w:rsidRDefault="00F846C4" w:rsidP="00F846C4">
            <w:pPr>
              <w:widowControl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Domínios</w:t>
            </w:r>
            <w:r w:rsidRPr="00F846C4">
              <w:rPr>
                <w:rFonts w:asciiTheme="minorHAnsi" w:hAnsiTheme="minorHAnsi" w:cs="VAG Rounded Std Light"/>
                <w:color w:val="000000"/>
                <w:szCs w:val="22"/>
              </w:rPr>
              <w:t>/ Subdomínios</w:t>
            </w:r>
          </w:p>
        </w:tc>
        <w:tc>
          <w:tcPr>
            <w:tcW w:w="8072" w:type="dxa"/>
            <w:gridSpan w:val="4"/>
            <w:shd w:val="clear" w:color="auto" w:fill="A6A6A6" w:themeFill="background1" w:themeFillShade="A6"/>
            <w:vAlign w:val="center"/>
          </w:tcPr>
          <w:p w:rsidR="00F846C4" w:rsidRPr="004849EC" w:rsidRDefault="00F846C4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2"/>
              </w:rPr>
            </w:pPr>
            <w:r w:rsidRPr="00F846C4">
              <w:rPr>
                <w:rFonts w:asciiTheme="minorHAnsi" w:hAnsiTheme="minorHAnsi" w:cs="DINOT-Bold"/>
                <w:b/>
                <w:bCs/>
                <w:sz w:val="20"/>
                <w:szCs w:val="22"/>
              </w:rPr>
              <w:t>Objetivos/Aprendizagens relevantes</w:t>
            </w:r>
          </w:p>
        </w:tc>
      </w:tr>
      <w:tr w:rsidR="004849EC" w:rsidRPr="00113376" w:rsidTr="004511C2">
        <w:tc>
          <w:tcPr>
            <w:tcW w:w="2122" w:type="dxa"/>
            <w:vMerge w:val="restart"/>
            <w:shd w:val="clear" w:color="auto" w:fill="FFFFCC"/>
          </w:tcPr>
          <w:p w:rsidR="00430E29" w:rsidRPr="004849EC" w:rsidRDefault="00113376" w:rsidP="004849EC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113376">
              <w:rPr>
                <w:rFonts w:asciiTheme="minorHAnsi" w:hAnsiTheme="minorHAnsi" w:cs="DINOT-Bold"/>
                <w:b/>
                <w:bCs/>
                <w:color w:val="000000"/>
              </w:rPr>
              <w:t>Domínio 10 – Da Grande Depressão à 2.ª Guerra Mundial</w:t>
            </w:r>
          </w:p>
          <w:p w:rsidR="00113376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</w:p>
          <w:p w:rsidR="00113376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</w:p>
          <w:p w:rsidR="00113376" w:rsidRPr="00113376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bookmarkStart w:id="0" w:name="_GoBack"/>
            <w:bookmarkEnd w:id="0"/>
          </w:p>
          <w:p w:rsidR="00113376" w:rsidRPr="00113376" w:rsidRDefault="00113376" w:rsidP="00113376">
            <w:pPr>
              <w:widowControl/>
              <w:jc w:val="left"/>
              <w:rPr>
                <w:rFonts w:asciiTheme="minorHAnsi" w:hAnsiTheme="minorHAnsi" w:cs="DINOT-Bold"/>
                <w:color w:val="000000"/>
              </w:rPr>
            </w:pPr>
            <w:r w:rsidRPr="00113376">
              <w:rPr>
                <w:rFonts w:asciiTheme="minorHAnsi" w:hAnsiTheme="minorHAnsi" w:cs="DINOT-Bold"/>
                <w:b/>
                <w:bCs/>
                <w:color w:val="000000"/>
              </w:rPr>
              <w:t xml:space="preserve">10.1. </w:t>
            </w:r>
            <w:r w:rsidRPr="00113376">
              <w:rPr>
                <w:rFonts w:asciiTheme="minorHAnsi" w:hAnsiTheme="minorHAnsi" w:cs="VAG Rounded Std Light"/>
                <w:color w:val="000000"/>
              </w:rPr>
              <w:t>Crise, ditadura e democracias na década de 30.</w:t>
            </w:r>
          </w:p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Explicar os mecanismos de mundialização da crise de 1929.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Caracterizar as medidas tomadas por Franklin Roosevelt no âmbito do New Deal</w:t>
            </w:r>
            <w:r w:rsidRPr="00113376">
              <w:rPr>
                <w:rFonts w:asciiTheme="minorHAnsi" w:hAnsiTheme="minorHAnsi" w:cs="VAG Rounded Std Light"/>
                <w:color w:val="000000"/>
              </w:rPr>
              <w:t>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Localizar no espaço e no tempo os regimes autoritários emergentes nos anos 20 e 30 do século XX.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F846C4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Descrever as circunstâncias da ascensão de Mussolini e do Partido Fascista ao poder.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Descrever as circunstâncias da ascensão de Hitler e do Partido Nazi ao poder</w:t>
            </w:r>
            <w:r w:rsidRPr="00113376">
              <w:rPr>
                <w:rFonts w:asciiTheme="minorHAnsi" w:hAnsiTheme="minorHAnsi" w:cs="VAG Rounded Std Light"/>
                <w:color w:val="000000"/>
              </w:rPr>
              <w:t>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Comparar os princípios e valores do fascismo italiano e do nazismo.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Distinguir nazismo de fascismo italiano.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Caracterizar o Estado Novo.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Comparar os Estados Corporativos italiano e português.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Caracterizar o estalinismo.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113376" w:rsidTr="004511C2">
        <w:tc>
          <w:tcPr>
            <w:tcW w:w="2122" w:type="dxa"/>
            <w:vMerge/>
            <w:shd w:val="clear" w:color="auto" w:fill="FFFFCC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4849EC" w:rsidRPr="00113376" w:rsidRDefault="00113376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</w:rPr>
            </w:pPr>
            <w:r w:rsidRPr="00113376">
              <w:rPr>
                <w:rFonts w:asciiTheme="minorHAnsi" w:hAnsiTheme="minorHAnsi" w:cs="VAG Rounded Std Light"/>
                <w:color w:val="000000"/>
              </w:rPr>
              <w:t>Interpretar fontes de natureza diversas</w:t>
            </w:r>
            <w:r w:rsidRPr="00113376">
              <w:rPr>
                <w:rFonts w:asciiTheme="minorHAnsi" w:hAnsiTheme="minorHAnsi" w:cs="VAG Rounded Std Light"/>
                <w:color w:val="000000"/>
              </w:rPr>
              <w:t>.</w:t>
            </w:r>
          </w:p>
        </w:tc>
        <w:tc>
          <w:tcPr>
            <w:tcW w:w="708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709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  <w:tc>
          <w:tcPr>
            <w:tcW w:w="1552" w:type="dxa"/>
          </w:tcPr>
          <w:p w:rsidR="004849EC" w:rsidRPr="00113376" w:rsidRDefault="004849EC" w:rsidP="00F846C4">
            <w:pPr>
              <w:pStyle w:val="Default"/>
              <w:spacing w:line="276" w:lineRule="auto"/>
              <w:rPr>
                <w:rFonts w:asciiTheme="minorHAnsi" w:hAnsiTheme="minorHAnsi" w:cs="VAGRoundedStd-Light"/>
                <w:color w:val="595743"/>
                <w:sz w:val="20"/>
                <w:szCs w:val="20"/>
              </w:rPr>
            </w:pPr>
          </w:p>
        </w:tc>
      </w:tr>
      <w:tr w:rsidR="004849EC" w:rsidRPr="004849EC" w:rsidTr="004849EC">
        <w:tc>
          <w:tcPr>
            <w:tcW w:w="10194" w:type="dxa"/>
            <w:gridSpan w:val="5"/>
            <w:shd w:val="clear" w:color="auto" w:fill="auto"/>
          </w:tcPr>
          <w:p w:rsidR="004849EC" w:rsidRPr="004849EC" w:rsidRDefault="004849EC" w:rsidP="004849EC">
            <w:pPr>
              <w:widowControl/>
              <w:spacing w:after="120" w:line="201" w:lineRule="atLeast"/>
              <w:jc w:val="center"/>
              <w:rPr>
                <w:rFonts w:asciiTheme="minorHAnsi" w:hAnsiTheme="minorHAnsi" w:cs="VAG Rounded Std Light"/>
                <w:color w:val="FF0000"/>
                <w:szCs w:val="22"/>
              </w:rPr>
            </w:pPr>
            <w:r w:rsidRPr="004849EC">
              <w:rPr>
                <w:rFonts w:asciiTheme="minorHAnsi" w:hAnsiTheme="minorHAnsi" w:cs="VAG Rounded Std Light"/>
                <w:b/>
                <w:bCs/>
                <w:color w:val="FF0000"/>
                <w:szCs w:val="22"/>
              </w:rPr>
              <w:t xml:space="preserve">Indicadores das questões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Nomeia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os nomes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Localiza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(no espaço e/ou no tempo) – onde e/ou quando aconteceu algo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Ordena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colocar por ordem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Seleciona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escolhe entre os vários elementos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Refere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diz; indica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Enumera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indica, uma a uma, todas as ações pedidas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Define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Explica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Estabelece a correspondência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liga os elementos relacionados entre si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Compara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mostra o que é igual ou diferente em duas ou mais situações. Coteja fontes históricas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Descreve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o que é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Explica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torna claro e compreensível uma determinada situação económica, social, política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Elabora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produz, compõe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Justifica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diz porquê, indica motivos, argumenta </w:t>
            </w:r>
          </w:p>
          <w:p w:rsidR="004849EC" w:rsidRP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Caracteriza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explicita, diz, o que é particular, específico de algo </w:t>
            </w:r>
          </w:p>
          <w:p w:rsidR="004849EC" w:rsidRDefault="004849EC" w:rsidP="004849EC">
            <w:pPr>
              <w:widowControl/>
              <w:spacing w:line="171" w:lineRule="atLeast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 xml:space="preserve">Avalia 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– operação que visa verificar a aquisição de conhecimentos, capacidades e aptidões (competências) em </w:t>
            </w:r>
          </w:p>
          <w:p w:rsidR="004849EC" w:rsidRPr="004849EC" w:rsidRDefault="004849EC" w:rsidP="004849EC">
            <w:pPr>
              <w:widowControl/>
              <w:spacing w:after="120" w:line="171" w:lineRule="atLeast"/>
              <w:ind w:left="680"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determinada área do conhecimento. Na disciplina de História, o indicador exige conhecimento e contextualização da situação para, de forma fundamentada, ponderar as consequências de determinada ação </w:t>
            </w:r>
          </w:p>
          <w:p w:rsidR="004849EC" w:rsidRDefault="004849EC" w:rsidP="004849EC">
            <w:pPr>
              <w:widowControl/>
              <w:jc w:val="left"/>
              <w:rPr>
                <w:rFonts w:asciiTheme="minorHAnsi" w:hAnsiTheme="minorHAnsi" w:cs="VAG Rounded Std Light"/>
                <w:color w:val="000000"/>
                <w:szCs w:val="22"/>
              </w:rPr>
            </w:pPr>
            <w:r w:rsidRPr="004849EC">
              <w:rPr>
                <w:rFonts w:asciiTheme="minorHAnsi" w:hAnsiTheme="minorHAnsi" w:cs="DINOT-Bold"/>
                <w:b/>
                <w:bCs/>
                <w:color w:val="000000"/>
                <w:szCs w:val="22"/>
              </w:rPr>
              <w:t>NOTA</w:t>
            </w: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 xml:space="preserve">: Se a questão solicitar uma resposta com “base nas fontes”, deves restringir-te à informação fornecida na </w:t>
            </w:r>
          </w:p>
          <w:p w:rsidR="004849EC" w:rsidRPr="004849EC" w:rsidRDefault="004849EC" w:rsidP="004849EC">
            <w:pPr>
              <w:widowControl/>
              <w:ind w:left="567"/>
              <w:jc w:val="left"/>
              <w:rPr>
                <w:rFonts w:asciiTheme="minorHAnsi" w:hAnsiTheme="minorHAnsi" w:cs="VAGRoundedStd-Light"/>
                <w:color w:val="595743"/>
                <w:szCs w:val="22"/>
              </w:rPr>
            </w:pPr>
            <w:r w:rsidRPr="004849EC">
              <w:rPr>
                <w:rFonts w:asciiTheme="minorHAnsi" w:hAnsiTheme="minorHAnsi" w:cs="VAG Rounded Std Light"/>
                <w:color w:val="000000"/>
                <w:szCs w:val="22"/>
              </w:rPr>
              <w:t>documentação fornecida. Se a questão solicitar uma resposta “a partir das fontes” deves mobilizar a informação fornecida pela documentação e os teus conhecimentos.</w:t>
            </w:r>
          </w:p>
        </w:tc>
      </w:tr>
    </w:tbl>
    <w:p w:rsidR="00F846C4" w:rsidRPr="00D52780" w:rsidRDefault="00F846C4" w:rsidP="00F846C4">
      <w:pPr>
        <w:pStyle w:val="Default"/>
        <w:spacing w:line="276" w:lineRule="auto"/>
        <w:rPr>
          <w:rFonts w:asciiTheme="minorHAnsi" w:hAnsiTheme="minorHAnsi" w:cs="VAGRoundedStd-Light"/>
          <w:color w:val="595743"/>
          <w:sz w:val="22"/>
          <w:szCs w:val="22"/>
        </w:rPr>
      </w:pPr>
    </w:p>
    <w:sectPr w:rsidR="00F846C4" w:rsidRPr="00D52780" w:rsidSect="00A743DA">
      <w:type w:val="continuous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417" w:rsidRDefault="009D6417" w:rsidP="00B9191E">
      <w:pPr>
        <w:spacing w:before="0"/>
      </w:pPr>
      <w:r>
        <w:separator/>
      </w:r>
    </w:p>
  </w:endnote>
  <w:endnote w:type="continuationSeparator" w:id="0">
    <w:p w:rsidR="009D6417" w:rsidRDefault="009D6417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Italic">
    <w:altName w:val="DINOT-Regular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Bold">
    <w:altName w:val="DINOT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altName w:val="DINOT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417" w:rsidRDefault="009D6417" w:rsidP="00B9191E">
      <w:pPr>
        <w:spacing w:before="0"/>
      </w:pPr>
      <w:r>
        <w:separator/>
      </w:r>
    </w:p>
  </w:footnote>
  <w:footnote w:type="continuationSeparator" w:id="0">
    <w:p w:rsidR="009D6417" w:rsidRDefault="009D6417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abstractNum w:abstractNumId="1">
    <w:nsid w:val="22042EC3"/>
    <w:multiLevelType w:val="multilevel"/>
    <w:tmpl w:val="6D165B1E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abstractNum w:abstractNumId="2">
    <w:nsid w:val="43C34726"/>
    <w:multiLevelType w:val="multilevel"/>
    <w:tmpl w:val="74264362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E194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E194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E194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E194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E194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E194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E194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E194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E1941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40E42"/>
    <w:rsid w:val="000D38C0"/>
    <w:rsid w:val="000D54B9"/>
    <w:rsid w:val="000E2849"/>
    <w:rsid w:val="001010EE"/>
    <w:rsid w:val="00113376"/>
    <w:rsid w:val="00153E02"/>
    <w:rsid w:val="00177184"/>
    <w:rsid w:val="00197FF2"/>
    <w:rsid w:val="00216456"/>
    <w:rsid w:val="00221246"/>
    <w:rsid w:val="002515F4"/>
    <w:rsid w:val="002A4B47"/>
    <w:rsid w:val="00315EA3"/>
    <w:rsid w:val="00347C48"/>
    <w:rsid w:val="00381874"/>
    <w:rsid w:val="003C3DED"/>
    <w:rsid w:val="003E3E13"/>
    <w:rsid w:val="004049A8"/>
    <w:rsid w:val="00416E2E"/>
    <w:rsid w:val="00430E29"/>
    <w:rsid w:val="00444590"/>
    <w:rsid w:val="004511C2"/>
    <w:rsid w:val="00462D51"/>
    <w:rsid w:val="004849EC"/>
    <w:rsid w:val="004D0ADB"/>
    <w:rsid w:val="005C5BC7"/>
    <w:rsid w:val="005E1789"/>
    <w:rsid w:val="005F3CB9"/>
    <w:rsid w:val="006407AC"/>
    <w:rsid w:val="00664FA2"/>
    <w:rsid w:val="0068046E"/>
    <w:rsid w:val="00690A63"/>
    <w:rsid w:val="006B3656"/>
    <w:rsid w:val="007073A9"/>
    <w:rsid w:val="007162F9"/>
    <w:rsid w:val="00722896"/>
    <w:rsid w:val="00724A1C"/>
    <w:rsid w:val="00763F1F"/>
    <w:rsid w:val="007B3F98"/>
    <w:rsid w:val="00826722"/>
    <w:rsid w:val="00826C72"/>
    <w:rsid w:val="0089526D"/>
    <w:rsid w:val="00920A10"/>
    <w:rsid w:val="009254CC"/>
    <w:rsid w:val="00930630"/>
    <w:rsid w:val="00976878"/>
    <w:rsid w:val="009D6417"/>
    <w:rsid w:val="009E5C85"/>
    <w:rsid w:val="00A078E9"/>
    <w:rsid w:val="00A676C7"/>
    <w:rsid w:val="00A743DA"/>
    <w:rsid w:val="00AB6960"/>
    <w:rsid w:val="00B641D0"/>
    <w:rsid w:val="00B811FB"/>
    <w:rsid w:val="00B9191E"/>
    <w:rsid w:val="00C96A56"/>
    <w:rsid w:val="00CF5C84"/>
    <w:rsid w:val="00D22629"/>
    <w:rsid w:val="00D27C11"/>
    <w:rsid w:val="00D370F7"/>
    <w:rsid w:val="00D52780"/>
    <w:rsid w:val="00D807D8"/>
    <w:rsid w:val="00E01F83"/>
    <w:rsid w:val="00E60224"/>
    <w:rsid w:val="00F42C23"/>
    <w:rsid w:val="00F846C4"/>
    <w:rsid w:val="00F94385"/>
    <w:rsid w:val="00FC54F7"/>
    <w:rsid w:val="00FF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C18EE-0F7E-48FE-AA4A-2232E59A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2780"/>
    <w:pPr>
      <w:autoSpaceDE w:val="0"/>
      <w:autoSpaceDN w:val="0"/>
      <w:adjustRightInd w:val="0"/>
      <w:spacing w:before="0"/>
      <w:jc w:val="left"/>
    </w:pPr>
    <w:rPr>
      <w:rFonts w:ascii="VAG Rounded Std Light" w:hAnsi="VAG Rounded Std Light" w:cs="VAG Rounded Std Light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D52780"/>
    <w:pPr>
      <w:spacing w:line="301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uiPriority w:val="99"/>
    <w:rsid w:val="00D52780"/>
    <w:pPr>
      <w:spacing w:line="201" w:lineRule="atLeast"/>
    </w:pPr>
    <w:rPr>
      <w:rFonts w:cs="Times New Roman"/>
      <w:color w:val="auto"/>
    </w:rPr>
  </w:style>
  <w:style w:type="character" w:customStyle="1" w:styleId="A19">
    <w:name w:val="A19"/>
    <w:uiPriority w:val="99"/>
    <w:rsid w:val="00D52780"/>
    <w:rPr>
      <w:rFonts w:ascii="DINOT-RegularItalic" w:hAnsi="DINOT-RegularItalic" w:cs="DINOT-RegularItalic"/>
      <w:i/>
      <w:iCs/>
      <w:color w:val="000000"/>
      <w:sz w:val="20"/>
      <w:szCs w:val="20"/>
      <w:u w:val="single"/>
    </w:rPr>
  </w:style>
  <w:style w:type="paragraph" w:customStyle="1" w:styleId="Pa45">
    <w:name w:val="Pa45"/>
    <w:basedOn w:val="Default"/>
    <w:next w:val="Default"/>
    <w:uiPriority w:val="99"/>
    <w:rsid w:val="00F846C4"/>
    <w:pPr>
      <w:spacing w:line="27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F846C4"/>
    <w:pPr>
      <w:spacing w:line="201" w:lineRule="atLeast"/>
    </w:pPr>
    <w:rPr>
      <w:rFonts w:ascii="VAG Rounded Std Thin" w:hAnsi="VAG Rounded Std Thin" w:cs="Times New Roman"/>
      <w:color w:val="auto"/>
    </w:rPr>
  </w:style>
  <w:style w:type="paragraph" w:customStyle="1" w:styleId="Pa35">
    <w:name w:val="Pa35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2">
    <w:name w:val="Pa42"/>
    <w:basedOn w:val="Default"/>
    <w:next w:val="Default"/>
    <w:uiPriority w:val="99"/>
    <w:rsid w:val="00F846C4"/>
    <w:pPr>
      <w:spacing w:line="201" w:lineRule="atLeast"/>
    </w:pPr>
    <w:rPr>
      <w:rFonts w:ascii="DINOT-Bold" w:hAnsi="DINOT-Bold" w:cs="Times New Roman"/>
      <w:color w:val="auto"/>
    </w:rPr>
  </w:style>
  <w:style w:type="paragraph" w:customStyle="1" w:styleId="Pa43">
    <w:name w:val="Pa43"/>
    <w:basedOn w:val="Default"/>
    <w:next w:val="Default"/>
    <w:uiPriority w:val="99"/>
    <w:rsid w:val="00F846C4"/>
    <w:pPr>
      <w:spacing w:line="171" w:lineRule="atLeast"/>
    </w:pPr>
    <w:rPr>
      <w:rFonts w:cs="Times New Roman"/>
      <w:color w:val="auto"/>
    </w:rPr>
  </w:style>
  <w:style w:type="paragraph" w:customStyle="1" w:styleId="Pa44">
    <w:name w:val="Pa44"/>
    <w:basedOn w:val="Default"/>
    <w:next w:val="Default"/>
    <w:uiPriority w:val="99"/>
    <w:rsid w:val="004849EC"/>
    <w:pPr>
      <w:spacing w:line="17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27B3B-2764-44E3-B3A2-9D9E1EEC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2015-03-13T23:50:00Z</dcterms:created>
  <dcterms:modified xsi:type="dcterms:W3CDTF">2015-03-13T23:54:00Z</dcterms:modified>
</cp:coreProperties>
</file>