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24" w:rsidRDefault="00D52780" w:rsidP="00D52780">
      <w:pPr>
        <w:spacing w:before="0"/>
        <w:rPr>
          <w:rFonts w:asciiTheme="minorHAnsi" w:hAnsiTheme="minorHAnsi" w:cs="VAGRoundedStd-Light"/>
          <w:color w:val="595743"/>
          <w:sz w:val="28"/>
          <w:szCs w:val="18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-544195</wp:posOffset>
                </wp:positionV>
                <wp:extent cx="7743825" cy="495300"/>
                <wp:effectExtent l="0" t="0" r="9525" b="0"/>
                <wp:wrapNone/>
                <wp:docPr id="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36" y="0"/>
                          <a:chExt cx="12195" cy="780"/>
                        </a:xfrm>
                      </wpg:grpSpPr>
                      <wps:wsp>
                        <wps:cNvPr id="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36" y="0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5" y="150"/>
                            <a:ext cx="771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1874" w:rsidRPr="00A743DA" w:rsidRDefault="00A743DA" w:rsidP="00A743DA">
                              <w:pP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A743DA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Orientações para o teu estudo!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4" o:spid="_x0000_s1026" style="position:absolute;left:0;text-align:left;margin-left:-58.3pt;margin-top:-42.85pt;width:609.75pt;height:39pt;z-index:251830272;mso-height-relative:margin" coordorigin="-36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">
                <v:rect id="Rectangle 2" o:spid="_x0000_s1027" style="position:absolute;left:-36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vFnMMA&#10;AADaAAAADwAAAGRycy9kb3ducmV2LnhtbESPQYvCMBSE74L/ITzBm6YWFKlGEXHFgyjb9eDx2Tzb&#10;YvPSbaLW/fWbBWGPw8x8w8yXranEgxpXWlYwGkYgiDOrS84VnL4+BlMQziNrrCyTghc5WC66nTkm&#10;2j75kx6pz0WAsEtQQeF9nUjpsoIMuqGtiYN3tY1BH2STS93gM8BNJeMomkiDJYeFAmtaF5Td0rtR&#10;EO/j89ZutuXP5cyjb3s4Rml9VKrfa1czEJ5a/x9+t3dawRj+roQb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vFnMMAAADaAAAADwAAAAAAAAAAAAAAAACYAgAAZHJzL2Rv&#10;d25yZXYueG1sUEsFBgAAAAAEAAQA9QAAAIgDAAAAAA==&#10;" fillcolor="#ffc00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615;top:150;width:77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381874" w:rsidRPr="00A743DA" w:rsidRDefault="00A743DA" w:rsidP="00A743DA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A743DA">
                          <w:rPr>
                            <w:rFonts w:asciiTheme="minorHAnsi" w:hAnsiTheme="minorHAnsi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Orientações para o teu estudo!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EE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438F7D6" wp14:editId="0888ADA1">
                <wp:simplePos x="0" y="0"/>
                <wp:positionH relativeFrom="column">
                  <wp:posOffset>6233795</wp:posOffset>
                </wp:positionH>
                <wp:positionV relativeFrom="paragraph">
                  <wp:posOffset>-445135</wp:posOffset>
                </wp:positionV>
                <wp:extent cx="414655" cy="400050"/>
                <wp:effectExtent l="635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4049A8" w:rsidP="007073A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F7D6" id="Text Box 14" o:spid="_x0000_s1029" type="#_x0000_t202" style="position:absolute;left:0;text-align:left;margin-left:490.85pt;margin-top:-35.05pt;width:32.65pt;height:31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" fillcolor="#fbd4b4 [1305]" stroked="f">
                <v:textbox>
                  <w:txbxContent>
                    <w:p w:rsidR="00315EA3" w:rsidRPr="00315EA3" w:rsidRDefault="004049A8" w:rsidP="007073A9">
                      <w:pPr>
                        <w:spacing w:before="0"/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D52780" w:rsidRDefault="00D52780" w:rsidP="00D52780">
      <w:pPr>
        <w:pStyle w:val="Default"/>
      </w:pPr>
    </w:p>
    <w:p w:rsidR="00D52780" w:rsidRDefault="00D52780" w:rsidP="00D52780">
      <w:pPr>
        <w:pStyle w:val="Default"/>
        <w:spacing w:line="276" w:lineRule="auto"/>
        <w:jc w:val="center"/>
        <w:rPr>
          <w:rFonts w:asciiTheme="minorHAnsi" w:hAnsiTheme="minorHAnsi" w:cs="Times New Roman"/>
          <w:b/>
          <w:color w:val="404040" w:themeColor="text1" w:themeTint="BF"/>
          <w:szCs w:val="22"/>
        </w:rPr>
        <w:sectPr w:rsidR="00D52780" w:rsidSect="00D52780">
          <w:type w:val="continuous"/>
          <w:pgSz w:w="11906" w:h="16838"/>
          <w:pgMar w:top="737" w:right="851" w:bottom="737" w:left="851" w:header="709" w:footer="709" w:gutter="0"/>
          <w:cols w:num="2" w:space="708"/>
          <w:docGrid w:linePitch="360"/>
        </w:sectPr>
      </w:pPr>
    </w:p>
    <w:p w:rsidR="00F846C4" w:rsidRPr="00F846C4" w:rsidRDefault="00F846C4" w:rsidP="00F846C4">
      <w:pPr>
        <w:widowControl/>
        <w:spacing w:before="0" w:line="271" w:lineRule="atLeast"/>
        <w:jc w:val="left"/>
        <w:rPr>
          <w:rFonts w:asciiTheme="minorHAnsi" w:hAnsiTheme="minorHAnsi"/>
          <w:color w:val="E36C0A" w:themeColor="accent6" w:themeShade="BF"/>
          <w:sz w:val="24"/>
          <w:szCs w:val="24"/>
        </w:rPr>
      </w:pPr>
      <w:r w:rsidRPr="00F846C4">
        <w:rPr>
          <w:rFonts w:asciiTheme="minorHAnsi" w:hAnsiTheme="minorHAnsi"/>
          <w:b/>
          <w:bCs/>
          <w:color w:val="E36C0A" w:themeColor="accent6" w:themeShade="BF"/>
          <w:sz w:val="24"/>
          <w:szCs w:val="24"/>
        </w:rPr>
        <w:lastRenderedPageBreak/>
        <w:t xml:space="preserve">Ficha de avaliação sumativa n.º 1 </w:t>
      </w:r>
    </w:p>
    <w:p w:rsidR="00D52780" w:rsidRPr="00F846C4" w:rsidRDefault="00F846C4" w:rsidP="00F846C4">
      <w:pPr>
        <w:pStyle w:val="Default"/>
        <w:spacing w:line="276" w:lineRule="auto"/>
        <w:rPr>
          <w:rFonts w:asciiTheme="minorHAnsi" w:hAnsiTheme="minorHAnsi" w:cs="DINOT-Regular"/>
          <w:color w:val="auto"/>
        </w:rPr>
      </w:pPr>
      <w:r w:rsidRPr="00F846C4">
        <w:rPr>
          <w:rFonts w:asciiTheme="minorHAnsi" w:hAnsiTheme="minorHAnsi" w:cs="DINOT-Regular"/>
          <w:color w:val="auto"/>
        </w:rPr>
        <w:t>Aproxima-se o primeiro momento de avaliação sumativa. Verifica, então, as tuas aprendizagens. Presta atenção aos indicadores das questões que poderão integrar a ficha de avaliação.</w:t>
      </w:r>
    </w:p>
    <w:p w:rsidR="00F846C4" w:rsidRDefault="00F846C4" w:rsidP="00F846C4">
      <w:pPr>
        <w:pStyle w:val="Default"/>
        <w:spacing w:line="276" w:lineRule="auto"/>
        <w:rPr>
          <w:rFonts w:ascii="DINOT-Regular" w:hAnsi="DINOT-Regular" w:cs="DINOT-Regular"/>
          <w:color w:val="auto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708"/>
        <w:gridCol w:w="709"/>
        <w:gridCol w:w="1552"/>
      </w:tblGrid>
      <w:tr w:rsidR="00F846C4" w:rsidRPr="004849EC" w:rsidTr="004849EC">
        <w:tc>
          <w:tcPr>
            <w:tcW w:w="7225" w:type="dxa"/>
            <w:gridSpan w:val="2"/>
            <w:shd w:val="clear" w:color="auto" w:fill="595959" w:themeFill="text1" w:themeFillTint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  <w:r w:rsidRPr="00F846C4">
              <w:rPr>
                <w:rFonts w:asciiTheme="minorHAnsi" w:hAnsiTheme="minorHAnsi" w:cs="VAG Rounded Std Thin"/>
                <w:b/>
                <w:bCs/>
                <w:color w:val="FFFFFF" w:themeColor="background1"/>
                <w:sz w:val="20"/>
                <w:szCs w:val="22"/>
              </w:rPr>
              <w:t>Metas Curriculares</w:t>
            </w:r>
          </w:p>
        </w:tc>
        <w:tc>
          <w:tcPr>
            <w:tcW w:w="708" w:type="dxa"/>
            <w:shd w:val="clear" w:color="auto" w:fill="595959" w:themeFill="text1" w:themeFillTint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  <w:r w:rsidRPr="004849EC"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  <w:t>Sim</w:t>
            </w:r>
          </w:p>
        </w:tc>
        <w:tc>
          <w:tcPr>
            <w:tcW w:w="709" w:type="dxa"/>
            <w:shd w:val="clear" w:color="auto" w:fill="595959" w:themeFill="text1" w:themeFillTint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  <w:r w:rsidRPr="004849EC"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  <w:t>Não</w:t>
            </w:r>
          </w:p>
        </w:tc>
        <w:tc>
          <w:tcPr>
            <w:tcW w:w="1552" w:type="dxa"/>
            <w:shd w:val="clear" w:color="auto" w:fill="595959" w:themeFill="text1" w:themeFillTint="A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6"/>
            </w:tblGrid>
            <w:tr w:rsidR="00F846C4" w:rsidRPr="004849EC">
              <w:tblPrEx>
                <w:tblCellMar>
                  <w:top w:w="0" w:type="dxa"/>
                  <w:bottom w:w="0" w:type="dxa"/>
                </w:tblCellMar>
              </w:tblPrEx>
              <w:trPr>
                <w:trHeight w:val="244"/>
              </w:trPr>
              <w:tc>
                <w:tcPr>
                  <w:tcW w:w="0" w:type="auto"/>
                </w:tcPr>
                <w:p w:rsidR="00F846C4" w:rsidRPr="00F846C4" w:rsidRDefault="00F846C4" w:rsidP="00F846C4">
                  <w:pPr>
                    <w:widowControl/>
                    <w:spacing w:before="0" w:line="201" w:lineRule="atLeast"/>
                    <w:jc w:val="center"/>
                    <w:rPr>
                      <w:rFonts w:asciiTheme="minorHAnsi" w:hAnsiTheme="minorHAnsi" w:cs="VAG Rounded Std Thin"/>
                      <w:color w:val="FFFFFF" w:themeColor="background1"/>
                      <w:szCs w:val="22"/>
                    </w:rPr>
                  </w:pPr>
                  <w:r w:rsidRPr="00F846C4">
                    <w:rPr>
                      <w:rFonts w:asciiTheme="minorHAnsi" w:hAnsiTheme="minorHAnsi" w:cs="VAG Rounded Std Thin"/>
                      <w:b/>
                      <w:bCs/>
                      <w:color w:val="FFFFFF" w:themeColor="background1"/>
                      <w:szCs w:val="22"/>
                    </w:rPr>
                    <w:t>Páginas do Manual</w:t>
                  </w:r>
                </w:p>
              </w:tc>
            </w:tr>
          </w:tbl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</w:p>
        </w:tc>
      </w:tr>
      <w:tr w:rsidR="00F846C4" w:rsidRPr="004849EC" w:rsidTr="004849EC">
        <w:tc>
          <w:tcPr>
            <w:tcW w:w="2122" w:type="dxa"/>
            <w:shd w:val="clear" w:color="auto" w:fill="A6A6A6" w:themeFill="background1" w:themeFillShade="A6"/>
          </w:tcPr>
          <w:p w:rsidR="00F846C4" w:rsidRPr="004849EC" w:rsidRDefault="00F846C4" w:rsidP="00F846C4">
            <w:pPr>
              <w:widowControl/>
              <w:jc w:val="left"/>
              <w:rPr>
                <w:rFonts w:asciiTheme="minorHAnsi" w:hAnsiTheme="minorHAnsi" w:cs="VAGRoundedStd-Light"/>
                <w:color w:val="595743"/>
                <w:szCs w:val="22"/>
              </w:rPr>
            </w:pPr>
            <w:r w:rsidRPr="00F846C4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>Domínios</w:t>
            </w:r>
            <w:r w:rsidRPr="00F846C4">
              <w:rPr>
                <w:rFonts w:asciiTheme="minorHAnsi" w:hAnsiTheme="minorHAnsi" w:cs="VAG Rounded Std Light"/>
                <w:color w:val="000000"/>
                <w:szCs w:val="22"/>
              </w:rPr>
              <w:t>/ Subdomínios</w:t>
            </w:r>
          </w:p>
        </w:tc>
        <w:tc>
          <w:tcPr>
            <w:tcW w:w="8072" w:type="dxa"/>
            <w:gridSpan w:val="4"/>
            <w:shd w:val="clear" w:color="auto" w:fill="A6A6A6" w:themeFill="background1" w:themeFillShade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  <w:r w:rsidRPr="00F846C4">
              <w:rPr>
                <w:rFonts w:asciiTheme="minorHAnsi" w:hAnsiTheme="minorHAnsi" w:cs="DINOT-Bold"/>
                <w:b/>
                <w:bCs/>
                <w:sz w:val="20"/>
                <w:szCs w:val="22"/>
              </w:rPr>
              <w:t>Objetivos/Aprendizagens relevantes</w:t>
            </w:r>
          </w:p>
        </w:tc>
      </w:tr>
      <w:tr w:rsidR="004849EC" w:rsidRPr="004849EC" w:rsidTr="004849EC">
        <w:tc>
          <w:tcPr>
            <w:tcW w:w="2122" w:type="dxa"/>
            <w:vMerge w:val="restart"/>
            <w:shd w:val="clear" w:color="auto" w:fill="FFFFCC"/>
          </w:tcPr>
          <w:p w:rsidR="004849EC" w:rsidRPr="004849EC" w:rsidRDefault="004849EC" w:rsidP="004849EC">
            <w:pPr>
              <w:widowControl/>
              <w:jc w:val="left"/>
              <w:rPr>
                <w:rFonts w:asciiTheme="minorHAnsi" w:hAnsiTheme="minorHAnsi" w:cs="DINOT-Bold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>Domínio 9 – A Europa e o Mundo no limiar do século XX</w:t>
            </w:r>
          </w:p>
          <w:p w:rsid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  <w:p w:rsid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  <w:p w:rsid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  <w:p w:rsidR="004849EC" w:rsidRPr="004849EC" w:rsidRDefault="004849EC" w:rsidP="004849EC">
            <w:pPr>
              <w:widowControl/>
              <w:jc w:val="left"/>
              <w:rPr>
                <w:rFonts w:asciiTheme="minorHAnsi" w:hAnsiTheme="minorHAnsi" w:cs="DINOT-Bold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9.1.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>Apogeu e declínio da influência europeia.</w:t>
            </w:r>
          </w:p>
          <w:p w:rsid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  <w:p w:rsid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  <w:r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  <w:t xml:space="preserve"> </w:t>
            </w:r>
          </w:p>
          <w:p w:rsidR="004849EC" w:rsidRPr="004849EC" w:rsidRDefault="004849EC" w:rsidP="004849EC">
            <w:pPr>
              <w:widowControl/>
              <w:jc w:val="left"/>
              <w:rPr>
                <w:rFonts w:asciiTheme="minorHAnsi" w:hAnsiTheme="minorHAnsi" w:cs="DINOT-Bold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9.2.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>As transformações políticas, económicas, sociais e culturais do após-guerra.</w:t>
            </w:r>
          </w:p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</w:tcPr>
          <w:p w:rsidR="004849EC" w:rsidRPr="004849EC" w:rsidRDefault="004849EC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F846C4">
              <w:rPr>
                <w:rFonts w:asciiTheme="minorHAnsi" w:hAnsiTheme="minorHAnsi" w:cs="VAG Rounded Std Light"/>
                <w:color w:val="000000"/>
                <w:szCs w:val="22"/>
              </w:rPr>
              <w:t>Explicar a influência europeia no mundo, em finais do século XIX e inícios do século XX</w:t>
            </w:r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849EC">
        <w:tc>
          <w:tcPr>
            <w:tcW w:w="2122" w:type="dxa"/>
            <w:vMerge/>
            <w:shd w:val="clear" w:color="auto" w:fill="FFFFCC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</w:tcPr>
          <w:p w:rsidR="004849EC" w:rsidRPr="004849EC" w:rsidRDefault="004849EC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F846C4">
              <w:rPr>
                <w:rFonts w:asciiTheme="minorHAnsi" w:hAnsiTheme="minorHAnsi" w:cs="VAG Rounded Std Light"/>
                <w:color w:val="000000"/>
                <w:szCs w:val="22"/>
              </w:rPr>
              <w:t>Compreender os contornos do imperialismo e do colonialismo europeu em finais do século XIX e inícios do século XX.</w:t>
            </w:r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849EC">
        <w:tc>
          <w:tcPr>
            <w:tcW w:w="2122" w:type="dxa"/>
            <w:vMerge/>
            <w:shd w:val="clear" w:color="auto" w:fill="FFFFCC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</w:tcPr>
          <w:p w:rsidR="004849EC" w:rsidRPr="004849EC" w:rsidRDefault="004849EC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F846C4">
              <w:rPr>
                <w:rFonts w:asciiTheme="minorHAnsi" w:hAnsiTheme="minorHAnsi" w:cs="VAG Rounded Std Light"/>
                <w:color w:val="000000"/>
                <w:szCs w:val="22"/>
              </w:rPr>
              <w:t>Conhecer as decisões da Conferência de Berlim e as suas consequências na partilha de África.</w:t>
            </w:r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849EC">
        <w:tc>
          <w:tcPr>
            <w:tcW w:w="2122" w:type="dxa"/>
            <w:vMerge/>
            <w:shd w:val="clear" w:color="auto" w:fill="FFFFCC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</w:tcPr>
          <w:p w:rsidR="004849EC" w:rsidRPr="004849EC" w:rsidRDefault="004849EC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F846C4">
              <w:rPr>
                <w:rFonts w:asciiTheme="minorHAnsi" w:hAnsiTheme="minorHAnsi" w:cs="VAG Rounded Std Light"/>
                <w:color w:val="000000"/>
                <w:szCs w:val="22"/>
              </w:rPr>
              <w:t>Relacionar o expansionismo europeu, os nacionalismos exacerbados, com o deflagrar da 1.ª Guerra Mundial.</w:t>
            </w:r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849EC">
        <w:tc>
          <w:tcPr>
            <w:tcW w:w="2122" w:type="dxa"/>
            <w:vMerge/>
            <w:shd w:val="clear" w:color="auto" w:fill="FFFFCC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</w:tcPr>
          <w:p w:rsidR="004849EC" w:rsidRPr="004849EC" w:rsidRDefault="004849EC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>Conhecer e caracterizar as fases da 1.ª Guerra Mundial e as potências em confronto</w:t>
            </w:r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849EC">
        <w:tc>
          <w:tcPr>
            <w:tcW w:w="2122" w:type="dxa"/>
            <w:vMerge/>
            <w:shd w:val="clear" w:color="auto" w:fill="FFFFCC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</w:tcPr>
          <w:p w:rsidR="004849EC" w:rsidRPr="004849EC" w:rsidRDefault="004849EC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>Conhecer as cláusulas dos tratados de paz, em particular do Tratado de Versalhes.</w:t>
            </w:r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849EC">
        <w:tc>
          <w:tcPr>
            <w:tcW w:w="2122" w:type="dxa"/>
            <w:vMerge/>
            <w:shd w:val="clear" w:color="auto" w:fill="FFFFCC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</w:tcPr>
          <w:p w:rsidR="004849EC" w:rsidRPr="004849EC" w:rsidRDefault="004849EC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>Explicar as consequências económicas e geopolíticas do após-1.ª Guerra, na Europa.</w:t>
            </w:r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849EC">
        <w:tc>
          <w:tcPr>
            <w:tcW w:w="2122" w:type="dxa"/>
            <w:vMerge/>
            <w:shd w:val="clear" w:color="auto" w:fill="FFFFCC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</w:tcPr>
          <w:p w:rsidR="004849EC" w:rsidRPr="004849EC" w:rsidRDefault="004849EC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>Explicar a supremacia dos EUA e a queda da Europa, no após-guerra.</w:t>
            </w:r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849EC">
        <w:tc>
          <w:tcPr>
            <w:tcW w:w="2122" w:type="dxa"/>
            <w:vMerge/>
            <w:shd w:val="clear" w:color="auto" w:fill="FFFFCC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</w:tcPr>
          <w:p w:rsidR="004849EC" w:rsidRPr="004849EC" w:rsidRDefault="004849EC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>Caracterizar a Rússia czarista nos domínios social, económico e político, nos inícios do século XX.</w:t>
            </w:r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849EC">
        <w:tc>
          <w:tcPr>
            <w:tcW w:w="2122" w:type="dxa"/>
            <w:vMerge/>
            <w:shd w:val="clear" w:color="auto" w:fill="FFFFCC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</w:tcPr>
          <w:p w:rsidR="004849EC" w:rsidRPr="004849EC" w:rsidRDefault="004849EC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>Descrever a revolução de fevereiro e de outubro de 1917 na Rússia, bem como os seus protagonistas.</w:t>
            </w:r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849EC">
        <w:tc>
          <w:tcPr>
            <w:tcW w:w="2122" w:type="dxa"/>
            <w:vMerge/>
            <w:shd w:val="clear" w:color="auto" w:fill="FFFFCC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</w:tcPr>
          <w:p w:rsidR="004849EC" w:rsidRPr="004849EC" w:rsidRDefault="004849EC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>Distinguir as “revoluções” de fevereiro e de outubro de 1917 quanto aos objetivos políticos.</w:t>
            </w:r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849EC">
        <w:tc>
          <w:tcPr>
            <w:tcW w:w="2122" w:type="dxa"/>
            <w:vMerge/>
            <w:shd w:val="clear" w:color="auto" w:fill="FFFFCC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</w:tcPr>
          <w:p w:rsidR="004849EC" w:rsidRPr="004849EC" w:rsidRDefault="004849EC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>Conhecer as medidas do “Comunismo de Guerra” e da NEP e avaliar os seus efeitos.</w:t>
            </w:r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849EC">
        <w:tc>
          <w:tcPr>
            <w:tcW w:w="2122" w:type="dxa"/>
            <w:vMerge/>
            <w:shd w:val="clear" w:color="auto" w:fill="FFFFCC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5103" w:type="dxa"/>
          </w:tcPr>
          <w:p w:rsidR="004849EC" w:rsidRPr="004849EC" w:rsidRDefault="004849EC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>Interpretar fontes de natureza diversa (textos, cartazes, imagens, gráficos…),</w:t>
            </w:r>
          </w:p>
        </w:tc>
        <w:tc>
          <w:tcPr>
            <w:tcW w:w="708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709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  <w:tc>
          <w:tcPr>
            <w:tcW w:w="1552" w:type="dxa"/>
          </w:tcPr>
          <w:p w:rsidR="004849EC" w:rsidRPr="004849EC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</w:p>
        </w:tc>
      </w:tr>
      <w:tr w:rsidR="004849EC" w:rsidRPr="004849EC" w:rsidTr="004849EC">
        <w:tc>
          <w:tcPr>
            <w:tcW w:w="10194" w:type="dxa"/>
            <w:gridSpan w:val="5"/>
            <w:shd w:val="clear" w:color="auto" w:fill="auto"/>
          </w:tcPr>
          <w:p w:rsidR="004849EC" w:rsidRPr="004849EC" w:rsidRDefault="004849EC" w:rsidP="004849EC">
            <w:pPr>
              <w:widowControl/>
              <w:spacing w:after="120" w:line="201" w:lineRule="atLeast"/>
              <w:jc w:val="center"/>
              <w:rPr>
                <w:rFonts w:asciiTheme="minorHAnsi" w:hAnsiTheme="minorHAnsi" w:cs="VAG Rounded Std Light"/>
                <w:color w:val="FF0000"/>
                <w:szCs w:val="22"/>
              </w:rPr>
            </w:pPr>
            <w:r w:rsidRPr="004849EC">
              <w:rPr>
                <w:rFonts w:asciiTheme="minorHAnsi" w:hAnsiTheme="minorHAnsi" w:cs="VAG Rounded Std Light"/>
                <w:b/>
                <w:bCs/>
                <w:color w:val="FF0000"/>
                <w:szCs w:val="22"/>
              </w:rPr>
              <w:t xml:space="preserve">Indicadores das questões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Nomeia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 os nomes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Localiza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(no espaço e/ou no tempo) – onde e/ou quando aconteceu algo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Ordena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colocar por ordem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Seleciona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escolhe entre os vários elementos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Refere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diz; indica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Enumera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indica, uma a uma, todas as ações pedidas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Define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Explica o que é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Estabelece a correspondência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liga os elementos relacionados entre si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Compara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mostra o que é igual ou diferente em duas ou mais situações. Coteja fontes históricas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Descreve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 o que é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Explica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torna claro e compreensível uma determinada situação económica, social, política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Elabora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produz, compõe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Justifica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 porquê, indica motivos, argumenta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Caracteriza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explicita, diz, o que é particular, específico de algo </w:t>
            </w:r>
          </w:p>
          <w:p w:rsid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Avalia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operação que visa verificar a aquisição de conhecimentos, capacidades e aptidões (competências) em </w:t>
            </w:r>
          </w:p>
          <w:p w:rsidR="004849EC" w:rsidRPr="004849EC" w:rsidRDefault="004849EC" w:rsidP="004849EC">
            <w:pPr>
              <w:widowControl/>
              <w:spacing w:after="120" w:line="171" w:lineRule="atLeast"/>
              <w:ind w:left="680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determinada área do conhecimento. Na disciplina de História, o indicador exige conhecimento e contextualização da situação para, de forma fundamentada, ponderar as consequências de determinada ação </w:t>
            </w:r>
          </w:p>
          <w:p w:rsidR="004849EC" w:rsidRDefault="004849EC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>NOTA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: Se a questão solicitar uma resposta com “base nas fontes”, deves restringir-te à informação fornecida na </w:t>
            </w:r>
          </w:p>
          <w:p w:rsidR="004849EC" w:rsidRPr="004849EC" w:rsidRDefault="004849EC" w:rsidP="004849EC">
            <w:pPr>
              <w:widowControl/>
              <w:ind w:left="567"/>
              <w:jc w:val="left"/>
              <w:rPr>
                <w:rFonts w:asciiTheme="minorHAnsi" w:hAnsiTheme="minorHAnsi" w:cs="VAGRoundedStd-Light"/>
                <w:color w:val="595743"/>
                <w:szCs w:val="22"/>
              </w:rPr>
            </w:pP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>documentação fornecida. Se a questão solicitar uma resposta “a partir das fontes” deves mobilizar a informação fornecida pela documentação e os teus conhecimentos.</w:t>
            </w:r>
          </w:p>
        </w:tc>
      </w:tr>
    </w:tbl>
    <w:p w:rsidR="00F846C4" w:rsidRPr="00D52780" w:rsidRDefault="00F846C4" w:rsidP="00F846C4">
      <w:pPr>
        <w:pStyle w:val="Default"/>
        <w:spacing w:line="276" w:lineRule="auto"/>
        <w:rPr>
          <w:rFonts w:asciiTheme="minorHAnsi" w:hAnsiTheme="minorHAnsi" w:cs="VAGRoundedStd-Light"/>
          <w:color w:val="595743"/>
          <w:sz w:val="22"/>
          <w:szCs w:val="22"/>
        </w:rPr>
      </w:pPr>
      <w:bookmarkStart w:id="0" w:name="_GoBack"/>
      <w:bookmarkEnd w:id="0"/>
    </w:p>
    <w:sectPr w:rsidR="00F846C4" w:rsidRPr="00D52780" w:rsidSect="00A743DA">
      <w:type w:val="continuous"/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4C3" w:rsidRDefault="00F054C3" w:rsidP="00B9191E">
      <w:pPr>
        <w:spacing w:before="0"/>
      </w:pPr>
      <w:r>
        <w:separator/>
      </w:r>
    </w:p>
  </w:endnote>
  <w:endnote w:type="continuationSeparator" w:id="0">
    <w:p w:rsidR="00F054C3" w:rsidRDefault="00F054C3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4C3" w:rsidRDefault="00F054C3" w:rsidP="00B9191E">
      <w:pPr>
        <w:spacing w:before="0"/>
      </w:pPr>
      <w:r>
        <w:separator/>
      </w:r>
    </w:p>
  </w:footnote>
  <w:footnote w:type="continuationSeparator" w:id="0">
    <w:p w:rsidR="00F054C3" w:rsidRDefault="00F054C3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2042EC3"/>
    <w:multiLevelType w:val="multilevel"/>
    <w:tmpl w:val="6D165B1E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abstractNum w:abstractNumId="2">
    <w:nsid w:val="43C34726"/>
    <w:multiLevelType w:val="multilevel"/>
    <w:tmpl w:val="74264362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0E42"/>
    <w:rsid w:val="000D38C0"/>
    <w:rsid w:val="000D54B9"/>
    <w:rsid w:val="000E2849"/>
    <w:rsid w:val="001010EE"/>
    <w:rsid w:val="00153E02"/>
    <w:rsid w:val="00177184"/>
    <w:rsid w:val="00197FF2"/>
    <w:rsid w:val="00221246"/>
    <w:rsid w:val="002515F4"/>
    <w:rsid w:val="002A4B47"/>
    <w:rsid w:val="00315EA3"/>
    <w:rsid w:val="00347C48"/>
    <w:rsid w:val="00381874"/>
    <w:rsid w:val="003C3DED"/>
    <w:rsid w:val="003E3E13"/>
    <w:rsid w:val="004049A8"/>
    <w:rsid w:val="00416E2E"/>
    <w:rsid w:val="00444590"/>
    <w:rsid w:val="00462D51"/>
    <w:rsid w:val="004849EC"/>
    <w:rsid w:val="004D0ADB"/>
    <w:rsid w:val="005C5BC7"/>
    <w:rsid w:val="005E1789"/>
    <w:rsid w:val="005F3CB9"/>
    <w:rsid w:val="006407AC"/>
    <w:rsid w:val="00664FA2"/>
    <w:rsid w:val="0068046E"/>
    <w:rsid w:val="00690A63"/>
    <w:rsid w:val="006B3656"/>
    <w:rsid w:val="007073A9"/>
    <w:rsid w:val="007162F9"/>
    <w:rsid w:val="00722896"/>
    <w:rsid w:val="00724A1C"/>
    <w:rsid w:val="00763F1F"/>
    <w:rsid w:val="007B3F98"/>
    <w:rsid w:val="00826C72"/>
    <w:rsid w:val="0089526D"/>
    <w:rsid w:val="00920A10"/>
    <w:rsid w:val="009254CC"/>
    <w:rsid w:val="00930630"/>
    <w:rsid w:val="00976878"/>
    <w:rsid w:val="009E5C85"/>
    <w:rsid w:val="00A078E9"/>
    <w:rsid w:val="00A676C7"/>
    <w:rsid w:val="00A743DA"/>
    <w:rsid w:val="00AB6960"/>
    <w:rsid w:val="00B641D0"/>
    <w:rsid w:val="00B811FB"/>
    <w:rsid w:val="00B9191E"/>
    <w:rsid w:val="00C96A56"/>
    <w:rsid w:val="00CF5C84"/>
    <w:rsid w:val="00D22629"/>
    <w:rsid w:val="00D370F7"/>
    <w:rsid w:val="00D52780"/>
    <w:rsid w:val="00D807D8"/>
    <w:rsid w:val="00E01F83"/>
    <w:rsid w:val="00E60224"/>
    <w:rsid w:val="00F054C3"/>
    <w:rsid w:val="00F42C23"/>
    <w:rsid w:val="00F846C4"/>
    <w:rsid w:val="00F94385"/>
    <w:rsid w:val="00FC54F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18EE-0F7E-48FE-AA4A-2232E59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780"/>
    <w:pPr>
      <w:autoSpaceDE w:val="0"/>
      <w:autoSpaceDN w:val="0"/>
      <w:adjustRightInd w:val="0"/>
      <w:spacing w:before="0"/>
      <w:jc w:val="left"/>
    </w:pPr>
    <w:rPr>
      <w:rFonts w:ascii="VAG Rounded Std Light" w:hAnsi="VAG Rounded Std Light" w:cs="VAG Rounded Std Light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D52780"/>
    <w:pPr>
      <w:spacing w:line="301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D52780"/>
    <w:pPr>
      <w:spacing w:line="201" w:lineRule="atLeast"/>
    </w:pPr>
    <w:rPr>
      <w:rFonts w:cs="Times New Roman"/>
      <w:color w:val="auto"/>
    </w:rPr>
  </w:style>
  <w:style w:type="character" w:customStyle="1" w:styleId="A19">
    <w:name w:val="A19"/>
    <w:uiPriority w:val="99"/>
    <w:rsid w:val="00D52780"/>
    <w:rPr>
      <w:rFonts w:ascii="DINOT-RegularItalic" w:hAnsi="DINOT-RegularItalic" w:cs="DINOT-RegularItalic"/>
      <w:i/>
      <w:iCs/>
      <w:color w:val="000000"/>
      <w:sz w:val="20"/>
      <w:szCs w:val="20"/>
      <w:u w:val="single"/>
    </w:rPr>
  </w:style>
  <w:style w:type="paragraph" w:customStyle="1" w:styleId="Pa45">
    <w:name w:val="Pa45"/>
    <w:basedOn w:val="Default"/>
    <w:next w:val="Default"/>
    <w:uiPriority w:val="99"/>
    <w:rsid w:val="00F846C4"/>
    <w:pPr>
      <w:spacing w:line="271" w:lineRule="atLeast"/>
    </w:pPr>
    <w:rPr>
      <w:rFonts w:cs="Times New Roman"/>
      <w:color w:val="auto"/>
    </w:rPr>
  </w:style>
  <w:style w:type="paragraph" w:customStyle="1" w:styleId="Pa21">
    <w:name w:val="Pa21"/>
    <w:basedOn w:val="Default"/>
    <w:next w:val="Default"/>
    <w:uiPriority w:val="99"/>
    <w:rsid w:val="00F846C4"/>
    <w:pPr>
      <w:spacing w:line="201" w:lineRule="atLeast"/>
    </w:pPr>
    <w:rPr>
      <w:rFonts w:ascii="VAG Rounded Std Thin" w:hAnsi="VAG Rounded Std Thin" w:cs="Times New Roman"/>
      <w:color w:val="auto"/>
    </w:rPr>
  </w:style>
  <w:style w:type="paragraph" w:customStyle="1" w:styleId="Pa35">
    <w:name w:val="Pa35"/>
    <w:basedOn w:val="Default"/>
    <w:next w:val="Default"/>
    <w:uiPriority w:val="99"/>
    <w:rsid w:val="00F846C4"/>
    <w:pPr>
      <w:spacing w:line="201" w:lineRule="atLeast"/>
    </w:pPr>
    <w:rPr>
      <w:rFonts w:ascii="DINOT-Bold" w:hAnsi="DINOT-Bold" w:cs="Times New Roman"/>
      <w:color w:val="auto"/>
    </w:rPr>
  </w:style>
  <w:style w:type="paragraph" w:customStyle="1" w:styleId="Pa42">
    <w:name w:val="Pa42"/>
    <w:basedOn w:val="Default"/>
    <w:next w:val="Default"/>
    <w:uiPriority w:val="99"/>
    <w:rsid w:val="00F846C4"/>
    <w:pPr>
      <w:spacing w:line="201" w:lineRule="atLeast"/>
    </w:pPr>
    <w:rPr>
      <w:rFonts w:ascii="DINOT-Bold" w:hAnsi="DINOT-Bold" w:cs="Times New Roman"/>
      <w:color w:val="auto"/>
    </w:rPr>
  </w:style>
  <w:style w:type="paragraph" w:customStyle="1" w:styleId="Pa43">
    <w:name w:val="Pa43"/>
    <w:basedOn w:val="Default"/>
    <w:next w:val="Default"/>
    <w:uiPriority w:val="99"/>
    <w:rsid w:val="00F846C4"/>
    <w:pPr>
      <w:spacing w:line="171" w:lineRule="atLeast"/>
    </w:pPr>
    <w:rPr>
      <w:rFonts w:cs="Times New Roman"/>
      <w:color w:val="auto"/>
    </w:rPr>
  </w:style>
  <w:style w:type="paragraph" w:customStyle="1" w:styleId="Pa44">
    <w:name w:val="Pa44"/>
    <w:basedOn w:val="Default"/>
    <w:next w:val="Default"/>
    <w:uiPriority w:val="99"/>
    <w:rsid w:val="004849EC"/>
    <w:pPr>
      <w:spacing w:line="17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1D304-DC29-49B3-B0F3-F1C02EA6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478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2015-03-13T23:30:00Z</dcterms:created>
  <dcterms:modified xsi:type="dcterms:W3CDTF">2015-03-13T23:43:00Z</dcterms:modified>
</cp:coreProperties>
</file>