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6A" w:rsidRPr="004D120A" w:rsidRDefault="00134C6A" w:rsidP="00134C6A">
      <w:pPr>
        <w:spacing w:after="0" w:line="240" w:lineRule="auto"/>
        <w:jc w:val="both"/>
        <w:rPr>
          <w:sz w:val="16"/>
        </w:rPr>
      </w:pPr>
      <w:r>
        <w:rPr>
          <w:noProof/>
          <w:sz w:val="24"/>
          <w:lang w:eastAsia="pt-PT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560CAF9B" wp14:editId="3FB9B1F0">
                <wp:simplePos x="0" y="0"/>
                <wp:positionH relativeFrom="page">
                  <wp:posOffset>-170121</wp:posOffset>
                </wp:positionH>
                <wp:positionV relativeFrom="paragraph">
                  <wp:posOffset>-529752</wp:posOffset>
                </wp:positionV>
                <wp:extent cx="7740501" cy="489097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501" cy="489097"/>
                          <a:chOff x="72695" y="0"/>
                          <a:chExt cx="7560000" cy="571996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72695" y="0"/>
                            <a:ext cx="7560000" cy="57199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4538080" y="76095"/>
                            <a:ext cx="3088433" cy="478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>
                              <w:pPr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  <w:r w:rsidRPr="004D120A">
                                <w:rPr>
                                  <w:b/>
                                  <w:color w:val="FFFFFF" w:themeColor="background1"/>
                                  <w:sz w:val="40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CAF9B" id="Group 3" o:spid="_x0000_s1026" style="position:absolute;left:0;text-align:left;margin-left:-13.4pt;margin-top:-41.7pt;width:609.5pt;height:38.5pt;z-index:251630592;mso-position-horizontal-relative:page;mso-width-relative:margin;mso-height-relative:margin" coordorigin="726" coordsize="75600,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">
                <v:rect id="Rectangle 1" o:spid="_x0000_s1027" style="position:absolute;left:726;width:75600;height: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3NMIA&#10;AADaAAAADwAAAGRycy9kb3ducmV2LnhtbERPS2sCMRC+C/6HMIVeSs22iJTVrNSC1oO1VEU8DpvZ&#10;h24mS5Lq+u8boeBp+PieM5l2phFncr62rOBlkIAgzq2uuVSw286f30D4gKyxsUwKruRhmvV7E0y1&#10;vfAPnTehFDGEfYoKqhDaVEqfV2TQD2xLHLnCOoMhQldK7fASw00jX5NkJA3WHBsqbOmjovy0+TUK&#10;Drvt13Dmvo+HYrHaj+yaPn35pNTjQ/c+BhGoC3fxv3up43y4vXK7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7c0wgAAANoAAAAPAAAAAAAAAAAAAAAAAJgCAABkcnMvZG93&#10;bnJldi54bWxQSwUGAAAAAAQABAD1AAAAhwMAAAAA&#10;" fillcolor="#0070c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5380;top:760;width:30885;height:4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3E502B" w:rsidRPr="004D120A" w:rsidRDefault="003E502B">
                        <w:pPr>
                          <w:rPr>
                            <w:b/>
                            <w:color w:val="FFFFFF" w:themeColor="background1"/>
                            <w:sz w:val="40"/>
                          </w:rPr>
                        </w:pPr>
                        <w:r w:rsidRPr="004D120A">
                          <w:rPr>
                            <w:b/>
                            <w:color w:val="FFFFFF" w:themeColor="background1"/>
                            <w:sz w:val="40"/>
                          </w:rPr>
                          <w:t>Ficha de avaliação global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34C6A" w:rsidRPr="00586A0E" w:rsidRDefault="00134C6A" w:rsidP="00134C6A">
      <w:pPr>
        <w:spacing w:after="0" w:line="240" w:lineRule="auto"/>
        <w:jc w:val="center"/>
        <w:rPr>
          <w:rFonts w:eastAsia="Times New Roman" w:cs="Arial"/>
          <w:b/>
          <w:color w:val="C00000"/>
          <w:sz w:val="28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 w:val="28"/>
          <w:szCs w:val="24"/>
          <w:lang w:eastAsia="pt-PT"/>
        </w:rPr>
        <w:t>Ficha de avaliação</w:t>
      </w:r>
      <w:r w:rsidR="00586A0E">
        <w:rPr>
          <w:rFonts w:eastAsia="Times New Roman" w:cs="Arial"/>
          <w:b/>
          <w:color w:val="C00000"/>
          <w:sz w:val="28"/>
          <w:szCs w:val="24"/>
          <w:lang w:eastAsia="pt-PT"/>
        </w:rPr>
        <w:t xml:space="preserve"> ─ 9.</w:t>
      </w:r>
      <w:r w:rsidR="00586A0E" w:rsidRPr="00586A0E">
        <w:rPr>
          <w:rFonts w:eastAsia="Times New Roman" w:cs="Arial"/>
          <w:b/>
          <w:color w:val="C00000"/>
          <w:sz w:val="28"/>
          <w:szCs w:val="24"/>
          <w:vertAlign w:val="superscript"/>
          <w:lang w:eastAsia="pt-PT"/>
        </w:rPr>
        <w:t>o</w:t>
      </w:r>
      <w:r w:rsidR="00586A0E">
        <w:rPr>
          <w:rFonts w:eastAsia="Times New Roman" w:cs="Arial"/>
          <w:b/>
          <w:color w:val="C00000"/>
          <w:sz w:val="28"/>
          <w:szCs w:val="24"/>
          <w:lang w:eastAsia="pt-PT"/>
        </w:rPr>
        <w:t xml:space="preserve"> ano</w:t>
      </w:r>
    </w:p>
    <w:p w:rsidR="00134C6A" w:rsidRPr="00134C6A" w:rsidRDefault="00134C6A" w:rsidP="00134C6A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pt-PT"/>
        </w:rPr>
      </w:pPr>
      <w:r w:rsidRPr="00134C6A">
        <w:rPr>
          <w:rFonts w:eastAsia="Times New Roman" w:cs="Arial"/>
          <w:b/>
          <w:sz w:val="28"/>
          <w:szCs w:val="24"/>
          <w:lang w:eastAsia="pt-PT"/>
        </w:rPr>
        <w:t>Objeto de avaliação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134C6A">
        <w:rPr>
          <w:rFonts w:eastAsia="Times New Roman" w:cs="Arial"/>
          <w:szCs w:val="24"/>
          <w:lang w:eastAsia="pt-PT"/>
        </w:rPr>
        <w:t>A prova global de História tem por referência o Programa de História em vigor para o 3.º ciclo (homologado em 1991) e as Metas Curriculares (homologadas em 2013).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134C6A">
        <w:rPr>
          <w:rFonts w:eastAsia="Times New Roman" w:cs="Arial"/>
          <w:szCs w:val="24"/>
          <w:lang w:eastAsia="pt-PT"/>
        </w:rPr>
        <w:t xml:space="preserve">A prova integra itens/questões relativos aos conteúdos e capacidades/aptidões de 7.º, 8.º e 9.º ano adiante apresentados. 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586A0E" w:rsidRDefault="00134C6A" w:rsidP="00134C6A">
      <w:pPr>
        <w:spacing w:after="0" w:line="240" w:lineRule="auto"/>
        <w:jc w:val="both"/>
        <w:rPr>
          <w:rFonts w:eastAsia="Times New Roman" w:cs="Arial"/>
          <w:b/>
          <w:color w:val="C00000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A) CONTEÚDOS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 xml:space="preserve">A HERANÇA DO MEDITERRÃNEO ANTIGO 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O mundo helénico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1.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o processo de formação e afirmação das cidades-estado gregas originárias (séculos VIII a IV a. C.).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3.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 xml:space="preserve">Comparar a organização política da </w:t>
      </w:r>
      <w:r w:rsidRPr="00DA2A65">
        <w:rPr>
          <w:rFonts w:eastAsia="Times New Roman" w:cs="Arial"/>
          <w:i/>
          <w:szCs w:val="24"/>
          <w:lang w:eastAsia="pt-PT"/>
        </w:rPr>
        <w:t>Polis</w:t>
      </w:r>
      <w:r w:rsidRPr="004D120A">
        <w:rPr>
          <w:rFonts w:eastAsia="Times New Roman" w:cs="Arial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 xml:space="preserve">ateniense com a da </w:t>
      </w:r>
      <w:r w:rsidRPr="00586A0E">
        <w:rPr>
          <w:rFonts w:eastAsia="Times New Roman" w:cs="Arial"/>
          <w:i/>
          <w:szCs w:val="24"/>
          <w:lang w:eastAsia="pt-PT"/>
        </w:rPr>
        <w:t>Polis</w:t>
      </w:r>
      <w:r w:rsidRPr="00134C6A">
        <w:rPr>
          <w:rFonts w:eastAsia="Times New Roman" w:cs="Arial"/>
          <w:szCs w:val="24"/>
          <w:lang w:eastAsia="pt-PT"/>
        </w:rPr>
        <w:t xml:space="preserve"> espartana.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4.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Caracterizar o modelo de democracia ateniense do século V a. C. no seu pioneirismo e nos seus limites.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5.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Explicar as clivagens no modo como Atenas e Esparta encaravam a educação e o papel da mulher na sociedade.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 xml:space="preserve">A FORMAÇÃO DA CRISTANDADE OCIDENTAL E A EXPANSÃO ISLÂMICA 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O mundo muçulmano em expansão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4.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a formação do reino de Portugal num contexto de reconquista cristã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4.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os documentos que formalizaram o reino de Portugal.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EXPANSÃO E MUDANÇA NOS SÉCULOS XV E XVI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O expansionismo europeu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1.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o pioneirismo português no processo de expansão europeu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DA “REVOLUÇÃO ARÍCOLA” À “REVOLUÇÃO INDUSTRIAL”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Revoluções e Estados liberais conservadores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1.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a Revolução Francesa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b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A EUROPA E O MUNDO NO LIMIAR DO SÉCULO XX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As transformações políticas, económicas, sociais e culturais do após guerra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1.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as transformações geopolíticas decorrentes da 1.ª Grande Guerra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DA GRANDE DEPRESSÃO À 2.ª GUERRA MUNDIAL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Crise, ditaduras e democracia na década de 30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1.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a Grande Depressão dos anos 30 e o seu impacto social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2.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 xml:space="preserve">Conhecer e compreender a emergência e consolidação </w:t>
      </w:r>
      <w:proofErr w:type="gramStart"/>
      <w:r w:rsidRPr="00134C6A">
        <w:rPr>
          <w:rFonts w:eastAsia="Times New Roman" w:cs="Arial"/>
          <w:szCs w:val="24"/>
          <w:lang w:eastAsia="pt-PT"/>
        </w:rPr>
        <w:t>do(s</w:t>
      </w:r>
      <w:proofErr w:type="gramEnd"/>
      <w:r w:rsidRPr="00134C6A">
        <w:rPr>
          <w:rFonts w:eastAsia="Times New Roman" w:cs="Arial"/>
          <w:szCs w:val="24"/>
          <w:lang w:eastAsia="pt-PT"/>
        </w:rPr>
        <w:t>) fascismo(s) nas décadas de 20 e 30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3.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a emergência e consolidação do Estado Novo em Portugal</w:t>
      </w:r>
    </w:p>
    <w:p w:rsidR="00134C6A" w:rsidRPr="004D120A" w:rsidRDefault="00134C6A" w:rsidP="00134C6A">
      <w:pPr>
        <w:spacing w:after="0" w:line="240" w:lineRule="auto"/>
        <w:jc w:val="both"/>
        <w:rPr>
          <w:rFonts w:eastAsia="Times New Roman" w:cs="Arial"/>
          <w:b/>
          <w:sz w:val="16"/>
          <w:szCs w:val="24"/>
          <w:lang w:eastAsia="pt-PT"/>
        </w:rPr>
      </w:pP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DO SEGUNDO APÓS GUERRA AOS ANOS 80.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b/>
          <w:szCs w:val="24"/>
          <w:lang w:eastAsia="pt-PT"/>
        </w:rPr>
      </w:pPr>
      <w:r w:rsidRPr="00134C6A">
        <w:rPr>
          <w:rFonts w:eastAsia="Times New Roman" w:cs="Arial"/>
          <w:b/>
          <w:szCs w:val="24"/>
          <w:lang w:eastAsia="pt-PT"/>
        </w:rPr>
        <w:t>A Guerra Fria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2.</w:t>
      </w:r>
      <w:r w:rsidRPr="004D120A">
        <w:rPr>
          <w:rFonts w:eastAsia="Times New Roman" w:cs="Arial"/>
          <w:color w:val="FF0066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os efeitos da nova “ordem mundial” do após guerra em Portugal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4.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 xml:space="preserve">Conhecer e compreender as consequências da política do Estado Novo perante o processo de descolonização </w:t>
      </w:r>
      <w:proofErr w:type="gramStart"/>
      <w:r w:rsidRPr="00134C6A">
        <w:rPr>
          <w:rFonts w:eastAsia="Times New Roman" w:cs="Arial"/>
          <w:szCs w:val="24"/>
          <w:lang w:eastAsia="pt-PT"/>
        </w:rPr>
        <w:t>do</w:t>
      </w:r>
      <w:proofErr w:type="gramEnd"/>
      <w:r w:rsidRPr="00134C6A">
        <w:rPr>
          <w:rFonts w:eastAsia="Times New Roman" w:cs="Arial"/>
          <w:szCs w:val="24"/>
          <w:lang w:eastAsia="pt-PT"/>
        </w:rPr>
        <w:t xml:space="preserve"> </w:t>
      </w:r>
      <w:proofErr w:type="gramStart"/>
      <w:r w:rsidRPr="00134C6A">
        <w:rPr>
          <w:rFonts w:eastAsia="Times New Roman" w:cs="Arial"/>
          <w:szCs w:val="24"/>
          <w:lang w:eastAsia="pt-PT"/>
        </w:rPr>
        <w:t>após</w:t>
      </w:r>
      <w:proofErr w:type="gramEnd"/>
      <w:r w:rsidRPr="00134C6A">
        <w:rPr>
          <w:rFonts w:eastAsia="Times New Roman" w:cs="Arial"/>
          <w:szCs w:val="24"/>
          <w:lang w:eastAsia="pt-PT"/>
        </w:rPr>
        <w:t xml:space="preserve"> guerra.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7.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 xml:space="preserve">Conhecer e compreender a desagregação do Estado Novo. 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8.</w:t>
      </w:r>
      <w:r w:rsidRPr="00586A0E">
        <w:rPr>
          <w:rFonts w:eastAsia="Times New Roman" w:cs="Arial"/>
          <w:color w:val="C00000"/>
          <w:szCs w:val="24"/>
          <w:lang w:eastAsia="pt-PT"/>
        </w:rPr>
        <w:t xml:space="preserve"> </w:t>
      </w:r>
      <w:r w:rsidRPr="00134C6A">
        <w:rPr>
          <w:rFonts w:eastAsia="Times New Roman" w:cs="Arial"/>
          <w:szCs w:val="24"/>
          <w:lang w:eastAsia="pt-PT"/>
        </w:rPr>
        <w:t>Conhecer e compreender a Revolução democrática portuguesa.</w:t>
      </w:r>
    </w:p>
    <w:p w:rsidR="004D120A" w:rsidRPr="004D120A" w:rsidRDefault="004D120A" w:rsidP="00134C6A">
      <w:pPr>
        <w:spacing w:after="0" w:line="240" w:lineRule="auto"/>
        <w:jc w:val="both"/>
        <w:rPr>
          <w:rFonts w:eastAsia="Times New Roman" w:cs="Arial"/>
          <w:sz w:val="16"/>
          <w:szCs w:val="24"/>
          <w:lang w:eastAsia="pt-PT"/>
        </w:rPr>
      </w:pPr>
    </w:p>
    <w:p w:rsidR="00134C6A" w:rsidRPr="00586A0E" w:rsidRDefault="00134C6A" w:rsidP="00134C6A">
      <w:pPr>
        <w:spacing w:after="0" w:line="240" w:lineRule="auto"/>
        <w:jc w:val="both"/>
        <w:rPr>
          <w:rFonts w:eastAsia="Times New Roman" w:cs="Arial"/>
          <w:b/>
          <w:color w:val="C00000"/>
          <w:szCs w:val="24"/>
          <w:lang w:eastAsia="pt-PT"/>
        </w:rPr>
      </w:pPr>
      <w:r w:rsidRPr="00586A0E">
        <w:rPr>
          <w:rFonts w:eastAsia="Times New Roman" w:cs="Arial"/>
          <w:b/>
          <w:color w:val="C00000"/>
          <w:szCs w:val="24"/>
          <w:lang w:eastAsia="pt-PT"/>
        </w:rPr>
        <w:t>B) CAPACIDADES/APTIDÕES E CONHECIMENTOS</w:t>
      </w:r>
    </w:p>
    <w:p w:rsidR="00134C6A" w:rsidRPr="00134C6A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134C6A">
        <w:rPr>
          <w:rFonts w:eastAsia="Times New Roman" w:cs="Arial"/>
          <w:szCs w:val="24"/>
          <w:lang w:eastAsia="pt-PT"/>
        </w:rPr>
        <w:t>– Utilizar a metodologia específica da História, nomeadamente:</w:t>
      </w:r>
    </w:p>
    <w:p w:rsidR="00134C6A" w:rsidRPr="004D120A" w:rsidRDefault="00134C6A" w:rsidP="004D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4D120A">
        <w:rPr>
          <w:rFonts w:eastAsia="Times New Roman" w:cs="Arial"/>
          <w:szCs w:val="24"/>
          <w:lang w:eastAsia="pt-PT"/>
        </w:rPr>
        <w:t>Interpretar fontes de natureza diversa (texto, imagens, gráficos, mapas, diagramas)</w:t>
      </w:r>
    </w:p>
    <w:p w:rsidR="00134C6A" w:rsidRPr="004D120A" w:rsidRDefault="00134C6A" w:rsidP="004D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4D120A">
        <w:rPr>
          <w:rFonts w:eastAsia="Times New Roman" w:cs="Arial"/>
          <w:szCs w:val="24"/>
          <w:lang w:eastAsia="pt-PT"/>
        </w:rPr>
        <w:t>Selecionar e identificar informação explícita e implícita das fontes;</w:t>
      </w:r>
    </w:p>
    <w:p w:rsidR="00134C6A" w:rsidRPr="004D120A" w:rsidRDefault="00134C6A" w:rsidP="004D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4D120A">
        <w:rPr>
          <w:rFonts w:eastAsia="Times New Roman" w:cs="Arial"/>
          <w:szCs w:val="24"/>
          <w:lang w:eastAsia="pt-PT"/>
        </w:rPr>
        <w:t>Formular hipóteses de interpretação de factos históricos;</w:t>
      </w:r>
    </w:p>
    <w:p w:rsidR="00134C6A" w:rsidRPr="004D120A" w:rsidRDefault="00134C6A" w:rsidP="004D12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4D120A">
        <w:rPr>
          <w:rFonts w:eastAsia="Times New Roman" w:cs="Arial"/>
          <w:szCs w:val="24"/>
          <w:lang w:eastAsia="pt-PT"/>
        </w:rPr>
        <w:t xml:space="preserve">Utilizar conceitos e generalizações, em particular da área das ciências sociais, na compreensão de situações históricas. </w:t>
      </w:r>
    </w:p>
    <w:p w:rsidR="00915587" w:rsidRDefault="00134C6A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134C6A">
        <w:rPr>
          <w:rFonts w:eastAsia="Times New Roman" w:cs="Arial"/>
          <w:szCs w:val="24"/>
          <w:lang w:eastAsia="pt-PT"/>
        </w:rPr>
        <w:t>– Desenvolver sínteses escritas a partir da informação recolhida, com correção linguística e aplicando o vocabulário específico da disciplina.</w:t>
      </w:r>
    </w:p>
    <w:p w:rsidR="00915587" w:rsidRDefault="00915587">
      <w:pPr>
        <w:rPr>
          <w:rFonts w:eastAsia="Times New Roman" w:cs="Arial"/>
          <w:szCs w:val="24"/>
          <w:lang w:eastAsia="pt-PT"/>
        </w:rPr>
      </w:pPr>
      <w:r>
        <w:rPr>
          <w:rFonts w:eastAsia="Times New Roman" w:cs="Arial"/>
          <w:szCs w:val="24"/>
          <w:lang w:eastAsia="pt-PT"/>
        </w:rPr>
        <w:br w:type="page"/>
      </w:r>
    </w:p>
    <w:p w:rsidR="00134C6A" w:rsidRDefault="00915587" w:rsidP="00134C6A">
      <w:pPr>
        <w:spacing w:after="0" w:line="240" w:lineRule="auto"/>
        <w:jc w:val="both"/>
        <w:rPr>
          <w:rFonts w:eastAsia="Times New Roman" w:cs="Arial"/>
          <w:szCs w:val="24"/>
          <w:lang w:eastAsia="pt-PT"/>
        </w:rPr>
      </w:pPr>
      <w:r w:rsidRPr="00915587">
        <w:rPr>
          <w:rFonts w:eastAsia="Times New Roman" w:cs="Arial"/>
          <w:noProof/>
          <w:sz w:val="16"/>
          <w:szCs w:val="24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5AA7D391" wp14:editId="736C57AF">
                <wp:simplePos x="0" y="0"/>
                <wp:positionH relativeFrom="column">
                  <wp:posOffset>-550545</wp:posOffset>
                </wp:positionH>
                <wp:positionV relativeFrom="paragraph">
                  <wp:posOffset>-421478</wp:posOffset>
                </wp:positionV>
                <wp:extent cx="7740015" cy="488950"/>
                <wp:effectExtent l="0" t="0" r="0" b="63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0015" cy="488950"/>
                          <a:chOff x="0" y="0"/>
                          <a:chExt cx="7740501" cy="489097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740501" cy="48909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65814" y="159488"/>
                            <a:ext cx="2073349" cy="318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E502B" w:rsidRPr="004D120A" w:rsidRDefault="003E502B" w:rsidP="004D120A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D120A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Ficha de avaliação global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7D391" id="Group 7" o:spid="_x0000_s1029" style="position:absolute;left:0;text-align:left;margin-left:-43.35pt;margin-top:-33.2pt;width:609.45pt;height:38.5pt;z-index:251635712" coordsize="77405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">
                <v:rect id="Rectangle 5" o:spid="_x0000_s1030" style="position:absolute;width:77405;height:4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xN8UA&#10;AADaAAAADwAAAGRycy9kb3ducmV2LnhtbESPQWsCMRSE7wX/Q3iCl6LZFiuyGqUWqh60pSri8bF5&#10;7m7dvCxJ1PXfG6HQ4zAz3zDjaWMqcSHnS8sKXnoJCOLM6pJzBbvtZ3cIwgdkjZVlUnAjD9NJ62mM&#10;qbZX/qHLJuQiQtinqKAIoU6l9FlBBn3P1sTRO1pnMETpcqkdXiPcVPI1SQbSYMlxocCaPgrKTpuz&#10;UXDYbdf9mfv+PRznq/3AftHC589KddrN+whEoCb8h//aS63gDR5X4g2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LE3xQAAANoAAAAPAAAAAAAAAAAAAAAAAJgCAABkcnMv&#10;ZG93bnJldi54bWxQSwUGAAAAAAQABAD1AAAAigMAAAAA&#10;" fillcolor="#0070c0" stroked="f" strokeweight="1pt"/>
                <v:shape id="Text Box 6" o:spid="_x0000_s1031" type="#_x0000_t202" style="position:absolute;left:2658;top:1594;width:20733;height:3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3E502B" w:rsidRPr="004D120A" w:rsidRDefault="003E502B" w:rsidP="004D120A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4D120A">
                          <w:rPr>
                            <w:b/>
                            <w:color w:val="FFFFFF" w:themeColor="background1"/>
                            <w:sz w:val="28"/>
                          </w:rPr>
                          <w:t>Ficha de avaliação global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120A" w:rsidRPr="00B949D7" w:rsidRDefault="004D120A" w:rsidP="004D120A">
      <w:pPr>
        <w:spacing w:after="0" w:line="240" w:lineRule="auto"/>
        <w:jc w:val="both"/>
        <w:rPr>
          <w:rFonts w:eastAsia="Times New Roman" w:cs="Arial"/>
          <w:sz w:val="10"/>
          <w:lang w:eastAsia="pt-PT"/>
        </w:rPr>
      </w:pP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– Desenvolver a noção de evolução, nomeadamente: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Caracterizar as fase</w:t>
      </w:r>
      <w:r w:rsidR="00DA2A65">
        <w:rPr>
          <w:rFonts w:cs="DINOT-Regular"/>
          <w:color w:val="000000"/>
        </w:rPr>
        <w:t>s</w:t>
      </w:r>
      <w:bookmarkStart w:id="0" w:name="_GoBack"/>
      <w:bookmarkEnd w:id="0"/>
      <w:r w:rsidRPr="004D120A">
        <w:rPr>
          <w:rFonts w:cs="DINOT-Regular"/>
          <w:color w:val="000000"/>
        </w:rPr>
        <w:t xml:space="preserve"> principais da evolução histórica;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Identificar os grandes momentos de rutura no processo evolutivo;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– Desenvolver as noções de condicionalismo e de causalidade, nomeadamente: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Compreender condições e motivações dos factos históricos;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Distinguir, numa dada realidade, os aspetos de ordem demográfica, económica, social, política e cultural, estabelecendo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relações entre eles;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Compreender o papel dos indivíduos e dos grupos na dinâmica social;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Compreender a importância do desenvolvimento científico e tecnológico e dos movimentos culturais para a evolução da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humanidade.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– Desenvolver a multiplicidade temporal, nomeadamente: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Localizar no tempo e no espaço eventos e processos;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Distinguir ritmos de evolução em sociedades diferentes e no interior de uma mesma sociedade;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Relacionar a história nacional com a história europeia e universal, destacando a especificidade do caso português;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Estabelecer relações entre o passado e o presente.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– Desenvolver a noção de relativismo cultural, nomeadamente: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>•</w:t>
      </w:r>
      <w:r w:rsidRPr="004D120A">
        <w:rPr>
          <w:rFonts w:cs="DINOT-Regular"/>
          <w:color w:val="EE1941"/>
        </w:rPr>
        <w:t xml:space="preserve"> </w:t>
      </w:r>
      <w:r w:rsidRPr="004D120A">
        <w:rPr>
          <w:rFonts w:cs="DINOT-Regular"/>
          <w:color w:val="000000"/>
        </w:rPr>
        <w:t>Reconhecer a simultaneidade de diferentes valores e culturas;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cs="DINOT-Regular"/>
          <w:color w:val="000000"/>
        </w:rPr>
      </w:pPr>
      <w:r w:rsidRPr="00586A0E">
        <w:rPr>
          <w:rFonts w:cs="DINOT-Regular"/>
          <w:color w:val="C00000"/>
        </w:rPr>
        <w:t xml:space="preserve">• </w:t>
      </w:r>
      <w:r w:rsidRPr="004D120A">
        <w:rPr>
          <w:rFonts w:cs="DINOT-Regular"/>
          <w:color w:val="000000"/>
        </w:rPr>
        <w:t xml:space="preserve">Compreender o </w:t>
      </w:r>
      <w:proofErr w:type="spellStart"/>
      <w:r w:rsidRPr="004D120A">
        <w:rPr>
          <w:rFonts w:cs="DINOT-Regular"/>
          <w:color w:val="000000"/>
        </w:rPr>
        <w:t>caráter</w:t>
      </w:r>
      <w:proofErr w:type="spellEnd"/>
      <w:r w:rsidRPr="004D120A">
        <w:rPr>
          <w:rFonts w:cs="DINOT-Regular"/>
          <w:color w:val="000000"/>
        </w:rPr>
        <w:t xml:space="preserve"> relativo dos valores culturais em diferentes tempos e espaços históricos.</w:t>
      </w:r>
    </w:p>
    <w:p w:rsidR="004D120A" w:rsidRPr="00B949D7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VAGRoundedStd-Bold"/>
          <w:b/>
          <w:bCs/>
          <w:color w:val="595743"/>
          <w:sz w:val="10"/>
        </w:rPr>
      </w:pP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center"/>
        <w:rPr>
          <w:rFonts w:cs="VAGRoundedStd-Bold"/>
          <w:b/>
          <w:bCs/>
          <w:color w:val="595743"/>
          <w:sz w:val="24"/>
        </w:rPr>
      </w:pPr>
      <w:r w:rsidRPr="004D120A">
        <w:rPr>
          <w:rFonts w:cs="VAGRoundedStd-Bold"/>
          <w:b/>
          <w:bCs/>
          <w:color w:val="595743"/>
          <w:sz w:val="24"/>
        </w:rPr>
        <w:t>Caracterização da prova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A prova apresenta quatro grupos de itens. Os itens/grupos têm como suporte um</w:t>
      </w:r>
      <w:r w:rsidR="00586A0E">
        <w:rPr>
          <w:rFonts w:cs="DINOT-Regular"/>
          <w:color w:val="000000"/>
        </w:rPr>
        <w:t>a</w:t>
      </w:r>
      <w:r w:rsidRPr="004D120A">
        <w:rPr>
          <w:rFonts w:cs="DINOT-Regular"/>
          <w:color w:val="000000"/>
        </w:rPr>
        <w:t xml:space="preserve"> ou mais fontes, cuja análise é exigida. Alguns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dos itens/grupos de itens podem envolver a mobilização de aprendizagens relativas a mais do que do que um dos temas do Programa/Metas Curriculares. A tipologia de itens, o número de itens e a cotação por item apresentam-se no quadro seguinte: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3111"/>
      </w:tblGrid>
      <w:tr w:rsidR="004D120A" w:rsidRPr="00915587" w:rsidTr="00915587">
        <w:tc>
          <w:tcPr>
            <w:tcW w:w="5240" w:type="dxa"/>
            <w:shd w:val="clear" w:color="auto" w:fill="0070C0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Bold"/>
                <w:b/>
                <w:bCs/>
                <w:color w:val="FFFFFF"/>
                <w:sz w:val="20"/>
              </w:rPr>
              <w:t>TIPOLOGIA DE ITENS</w:t>
            </w:r>
          </w:p>
        </w:tc>
        <w:tc>
          <w:tcPr>
            <w:tcW w:w="1843" w:type="dxa"/>
            <w:shd w:val="clear" w:color="auto" w:fill="0070C0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Bold"/>
                <w:b/>
                <w:bCs/>
                <w:color w:val="FFFFFF"/>
                <w:sz w:val="20"/>
              </w:rPr>
              <w:t>NÚMERO DE ITENS</w:t>
            </w:r>
          </w:p>
        </w:tc>
        <w:tc>
          <w:tcPr>
            <w:tcW w:w="3111" w:type="dxa"/>
            <w:shd w:val="clear" w:color="auto" w:fill="0070C0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Bold"/>
                <w:b/>
                <w:bCs/>
                <w:color w:val="FFFFFF"/>
                <w:sz w:val="20"/>
              </w:rPr>
              <w:t xml:space="preserve">COTAÇÃO POR ITEM </w:t>
            </w:r>
            <w:r w:rsidRPr="00915587">
              <w:rPr>
                <w:rFonts w:cs="VAGRoundedStd-Light"/>
                <w:color w:val="FFFFFF"/>
                <w:sz w:val="20"/>
              </w:rPr>
              <w:t>(EM PONTOS)</w:t>
            </w:r>
          </w:p>
        </w:tc>
      </w:tr>
      <w:tr w:rsidR="004D120A" w:rsidRPr="00915587" w:rsidTr="00915587">
        <w:tc>
          <w:tcPr>
            <w:tcW w:w="5240" w:type="dxa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both"/>
              <w:rPr>
                <w:rFonts w:cs="DINOT-Bold"/>
                <w:b/>
                <w:bCs/>
                <w:color w:val="000000"/>
                <w:sz w:val="20"/>
              </w:rPr>
            </w:pPr>
            <w:r w:rsidRPr="00915587">
              <w:rPr>
                <w:rFonts w:cs="DINOT-Bold"/>
                <w:b/>
                <w:bCs/>
                <w:color w:val="000000"/>
                <w:sz w:val="20"/>
              </w:rPr>
              <w:t>Itens de seleção:</w:t>
            </w:r>
          </w:p>
          <w:p w:rsidR="004D120A" w:rsidRPr="00915587" w:rsidRDefault="004D120A" w:rsidP="004D120A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Light"/>
                <w:color w:val="000000"/>
                <w:sz w:val="20"/>
              </w:rPr>
              <w:t>Escolha múltipla; associação/correspondência; ordenação.</w:t>
            </w:r>
          </w:p>
        </w:tc>
        <w:tc>
          <w:tcPr>
            <w:tcW w:w="1843" w:type="dxa"/>
            <w:vAlign w:val="center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Cs/>
                <w:sz w:val="20"/>
              </w:rPr>
            </w:pPr>
            <w:r w:rsidRPr="00915587">
              <w:rPr>
                <w:rFonts w:cs="VAGRoundedStd-Bold"/>
                <w:bCs/>
                <w:sz w:val="20"/>
              </w:rPr>
              <w:t>7</w:t>
            </w:r>
          </w:p>
        </w:tc>
        <w:tc>
          <w:tcPr>
            <w:tcW w:w="3111" w:type="dxa"/>
            <w:vAlign w:val="center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Cs/>
                <w:sz w:val="20"/>
              </w:rPr>
            </w:pPr>
            <w:r w:rsidRPr="00915587">
              <w:rPr>
                <w:rFonts w:cs="VAGRoundedStd-Bold"/>
                <w:bCs/>
                <w:sz w:val="20"/>
              </w:rPr>
              <w:t xml:space="preserve">2 </w:t>
            </w:r>
            <w:proofErr w:type="gramStart"/>
            <w:r w:rsidRPr="00915587">
              <w:rPr>
                <w:rFonts w:cs="VAGRoundedStd-Bold"/>
                <w:bCs/>
                <w:sz w:val="20"/>
              </w:rPr>
              <w:t>a</w:t>
            </w:r>
            <w:proofErr w:type="gramEnd"/>
            <w:r w:rsidRPr="00915587">
              <w:rPr>
                <w:rFonts w:cs="VAGRoundedStd-Bold"/>
                <w:bCs/>
                <w:sz w:val="20"/>
              </w:rPr>
              <w:t xml:space="preserve"> 7</w:t>
            </w:r>
          </w:p>
        </w:tc>
      </w:tr>
      <w:tr w:rsidR="004D120A" w:rsidRPr="00915587" w:rsidTr="00915587">
        <w:tc>
          <w:tcPr>
            <w:tcW w:w="5240" w:type="dxa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both"/>
              <w:rPr>
                <w:rFonts w:cs="DINOT-Bold"/>
                <w:b/>
                <w:bCs/>
                <w:color w:val="000000"/>
                <w:sz w:val="20"/>
              </w:rPr>
            </w:pPr>
            <w:r w:rsidRPr="00915587">
              <w:rPr>
                <w:rFonts w:cs="DINOT-Bold"/>
                <w:b/>
                <w:bCs/>
                <w:color w:val="000000"/>
                <w:sz w:val="20"/>
              </w:rPr>
              <w:t>Itens de construção:</w:t>
            </w:r>
          </w:p>
          <w:p w:rsidR="004D120A" w:rsidRPr="00915587" w:rsidRDefault="004D120A" w:rsidP="004D120A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Light"/>
                <w:color w:val="000000"/>
                <w:sz w:val="20"/>
              </w:rPr>
              <w:t>Resposta curta; resposta restrita; resposta extensa.</w:t>
            </w:r>
          </w:p>
        </w:tc>
        <w:tc>
          <w:tcPr>
            <w:tcW w:w="1843" w:type="dxa"/>
            <w:vAlign w:val="center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Cs/>
                <w:sz w:val="20"/>
              </w:rPr>
            </w:pPr>
            <w:r w:rsidRPr="00915587">
              <w:rPr>
                <w:rFonts w:cs="VAGRoundedStd-Bold"/>
                <w:bCs/>
                <w:sz w:val="20"/>
              </w:rPr>
              <w:t>9</w:t>
            </w:r>
          </w:p>
        </w:tc>
        <w:tc>
          <w:tcPr>
            <w:tcW w:w="3111" w:type="dxa"/>
            <w:vAlign w:val="center"/>
          </w:tcPr>
          <w:p w:rsidR="004D120A" w:rsidRPr="00915587" w:rsidRDefault="004D120A" w:rsidP="004D120A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Cs/>
                <w:sz w:val="20"/>
              </w:rPr>
            </w:pPr>
            <w:r w:rsidRPr="00915587">
              <w:rPr>
                <w:rFonts w:cs="VAGRoundedStd-Bold"/>
                <w:bCs/>
                <w:sz w:val="20"/>
              </w:rPr>
              <w:t xml:space="preserve">2 </w:t>
            </w:r>
            <w:proofErr w:type="gramStart"/>
            <w:r w:rsidRPr="00915587">
              <w:rPr>
                <w:rFonts w:cs="VAGRoundedStd-Bold"/>
                <w:bCs/>
                <w:sz w:val="20"/>
              </w:rPr>
              <w:t>a</w:t>
            </w:r>
            <w:proofErr w:type="gramEnd"/>
            <w:r w:rsidRPr="00915587">
              <w:rPr>
                <w:rFonts w:cs="VAGRoundedStd-Bold"/>
                <w:bCs/>
                <w:sz w:val="20"/>
              </w:rPr>
              <w:t xml:space="preserve"> 20</w:t>
            </w:r>
          </w:p>
        </w:tc>
      </w:tr>
    </w:tbl>
    <w:p w:rsidR="004D120A" w:rsidRPr="00B949D7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10"/>
        </w:rPr>
      </w:pP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</w:rPr>
      </w:pPr>
      <w:r w:rsidRPr="004D120A">
        <w:rPr>
          <w:rFonts w:cs="DINOT-Bold"/>
          <w:b/>
          <w:bCs/>
          <w:color w:val="000000"/>
        </w:rPr>
        <w:t>CRITÉRIOS GERAIS DE CLASSIFICAÇÃO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A classificação a atribuir a cada resposta resulta da aplicação dos critérios gerais e dos específico</w:t>
      </w:r>
      <w:r>
        <w:rPr>
          <w:rFonts w:cs="DINOT-Regular"/>
          <w:color w:val="000000"/>
        </w:rPr>
        <w:t xml:space="preserve">s de classificação apresentados </w:t>
      </w:r>
      <w:r w:rsidRPr="004D120A">
        <w:rPr>
          <w:rFonts w:cs="DINOT-Regular"/>
          <w:color w:val="000000"/>
        </w:rPr>
        <w:t>para cada item e é expressa por um número prevista na grelha de classificação.</w:t>
      </w:r>
    </w:p>
    <w:p w:rsidR="004D120A" w:rsidRPr="00B949D7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10"/>
        </w:rPr>
      </w:pP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</w:rPr>
      </w:pPr>
      <w:r w:rsidRPr="004D120A">
        <w:rPr>
          <w:rFonts w:cs="DINOT-Bold"/>
          <w:b/>
          <w:bCs/>
          <w:color w:val="000000"/>
        </w:rPr>
        <w:t>ITENS DE SELEÇÃO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="DINOT-Bold"/>
          <w:b/>
          <w:bCs/>
          <w:color w:val="000000"/>
        </w:rPr>
      </w:pPr>
      <w:r w:rsidRPr="004D120A">
        <w:rPr>
          <w:rFonts w:cs="DINOT-Bold"/>
          <w:b/>
          <w:bCs/>
          <w:color w:val="000000"/>
        </w:rPr>
        <w:t>Escolha múltipla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A cotação total do item só é atribuída às respostas que apresentem de forma inequívoca a opção correta.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="DINOT-Bold"/>
          <w:b/>
          <w:bCs/>
          <w:color w:val="000000"/>
        </w:rPr>
      </w:pPr>
      <w:r w:rsidRPr="004D120A">
        <w:rPr>
          <w:rFonts w:cs="DINOT-Bold"/>
          <w:b/>
          <w:bCs/>
          <w:color w:val="000000"/>
        </w:rPr>
        <w:t>Associação/Completamento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A classificação é atribuída de acordo com o nível de desempenho.</w:t>
      </w:r>
    </w:p>
    <w:p w:rsidR="004D120A" w:rsidRPr="00B949D7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  <w:sz w:val="10"/>
        </w:rPr>
      </w:pP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Bold"/>
          <w:b/>
          <w:bCs/>
          <w:color w:val="000000"/>
        </w:rPr>
      </w:pPr>
      <w:r w:rsidRPr="004D120A">
        <w:rPr>
          <w:rFonts w:cs="DINOT-Bold"/>
          <w:b/>
          <w:bCs/>
          <w:color w:val="000000"/>
        </w:rPr>
        <w:t>ITENS DE CONSTRUÇÃO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Os critérios de classificação das respostas aos itens de resposta restrita e extensa apresent</w:t>
      </w:r>
      <w:r>
        <w:rPr>
          <w:rFonts w:cs="DINOT-Regular"/>
          <w:color w:val="000000"/>
        </w:rPr>
        <w:t xml:space="preserve">am-se organizados por níveis de </w:t>
      </w:r>
      <w:r w:rsidRPr="004D120A">
        <w:rPr>
          <w:rFonts w:cs="DINOT-Regular"/>
          <w:color w:val="000000"/>
        </w:rPr>
        <w:t>desempenho. A cada nível de desempenho corresponde uma dada pontuação. É classificada com zero pontos qualquer resposta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que não atinja o nível 1 de desempenho no domínio específico da disciplina.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Nos critérios relativos a estes itens, estão previstos níveis de desempenho intercalares não descritos. Sempre que uma resposta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revele um desempenho que não se integre em nenhum de dois níveis descritos. Sempre que uma resposta revele um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desempenho que não se integre em nenhum de dois níveis descritos consecutivos, deve ser-lhe atribuída a pontuação correspondente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ao nível intercalar que os separa.</w:t>
      </w:r>
    </w:p>
    <w:p w:rsidR="004D120A" w:rsidRPr="004D120A" w:rsidRDefault="004D120A" w:rsidP="004D120A">
      <w:pPr>
        <w:autoSpaceDE w:val="0"/>
        <w:autoSpaceDN w:val="0"/>
        <w:adjustRightInd w:val="0"/>
        <w:spacing w:after="0" w:line="240" w:lineRule="auto"/>
        <w:jc w:val="both"/>
        <w:rPr>
          <w:rFonts w:cs="DINOT-Regular"/>
          <w:color w:val="000000"/>
        </w:rPr>
      </w:pPr>
      <w:r w:rsidRPr="004D120A">
        <w:rPr>
          <w:rFonts w:cs="DINOT-Regular"/>
          <w:color w:val="000000"/>
        </w:rPr>
        <w:t>Nos itens de resposta restrita e de resposta extensa, a classificação a atribuir traduz a avaliação simultânea do desempenho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no domínio específico da disciplina e no domínio da comunicação escrita em língua portuguesa. A avaliação do domínio da</w:t>
      </w:r>
      <w:r>
        <w:rPr>
          <w:rFonts w:cs="DINOT-Regular"/>
          <w:color w:val="000000"/>
        </w:rPr>
        <w:t xml:space="preserve"> </w:t>
      </w:r>
      <w:r w:rsidRPr="004D120A">
        <w:rPr>
          <w:rFonts w:cs="DINOT-Regular"/>
          <w:color w:val="000000"/>
        </w:rPr>
        <w:t>comunicação escrita em língua portuguesa faz-se de acordo com os níveis de desempenho a seguir descritos.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65"/>
        <w:gridCol w:w="9206"/>
      </w:tblGrid>
      <w:tr w:rsidR="00915587" w:rsidRPr="00915587" w:rsidTr="00915587">
        <w:tc>
          <w:tcPr>
            <w:tcW w:w="709" w:type="dxa"/>
            <w:shd w:val="clear" w:color="auto" w:fill="0070C0"/>
          </w:tcPr>
          <w:p w:rsidR="00915587" w:rsidRPr="00915587" w:rsidRDefault="00915587" w:rsidP="00915587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Bold"/>
                <w:b/>
                <w:bCs/>
                <w:color w:val="FFFFFF"/>
                <w:sz w:val="20"/>
              </w:rPr>
              <w:t>NÍVEIS</w:t>
            </w:r>
          </w:p>
        </w:tc>
        <w:tc>
          <w:tcPr>
            <w:tcW w:w="9206" w:type="dxa"/>
            <w:shd w:val="clear" w:color="auto" w:fill="0070C0"/>
          </w:tcPr>
          <w:p w:rsidR="00915587" w:rsidRPr="00915587" w:rsidRDefault="00915587" w:rsidP="00915587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Bold"/>
                <w:b/>
                <w:bCs/>
                <w:color w:val="FFFFFF"/>
                <w:sz w:val="20"/>
              </w:rPr>
              <w:t>DESCRITORES</w:t>
            </w:r>
          </w:p>
        </w:tc>
      </w:tr>
      <w:tr w:rsidR="00915587" w:rsidRPr="00915587" w:rsidTr="00B949D7">
        <w:tc>
          <w:tcPr>
            <w:tcW w:w="709" w:type="dxa"/>
            <w:vAlign w:val="center"/>
          </w:tcPr>
          <w:p w:rsidR="00915587" w:rsidRPr="00915587" w:rsidRDefault="00915587" w:rsidP="00915587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DINOT-Bold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9206" w:type="dxa"/>
          </w:tcPr>
          <w:p w:rsidR="00915587" w:rsidRPr="00915587" w:rsidRDefault="00915587" w:rsidP="00915587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Light"/>
                <w:color w:val="000000"/>
                <w:sz w:val="20"/>
              </w:rPr>
              <w:t>Texto bem estruturado, sem erros de sintaxe, de pontuação e/ou de ortografia, ou com erros esporádicos, cuja gravidade não implique perda de inteligibilidade e/ou de sentido.</w:t>
            </w:r>
          </w:p>
        </w:tc>
      </w:tr>
      <w:tr w:rsidR="00915587" w:rsidRPr="00915587" w:rsidTr="00B949D7">
        <w:tc>
          <w:tcPr>
            <w:tcW w:w="709" w:type="dxa"/>
            <w:vAlign w:val="center"/>
          </w:tcPr>
          <w:p w:rsidR="00915587" w:rsidRPr="00915587" w:rsidRDefault="00915587" w:rsidP="00915587">
            <w:pPr>
              <w:autoSpaceDE w:val="0"/>
              <w:autoSpaceDN w:val="0"/>
              <w:adjustRightInd w:val="0"/>
              <w:jc w:val="center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DINOT-Bold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9206" w:type="dxa"/>
          </w:tcPr>
          <w:p w:rsidR="00915587" w:rsidRPr="00915587" w:rsidRDefault="00915587" w:rsidP="00915587">
            <w:pPr>
              <w:autoSpaceDE w:val="0"/>
              <w:autoSpaceDN w:val="0"/>
              <w:adjustRightInd w:val="0"/>
              <w:jc w:val="both"/>
              <w:rPr>
                <w:rFonts w:cs="VAGRoundedStd-Bold"/>
                <w:b/>
                <w:bCs/>
                <w:color w:val="FFFFFF"/>
                <w:sz w:val="20"/>
              </w:rPr>
            </w:pPr>
            <w:r w:rsidRPr="00915587">
              <w:rPr>
                <w:rFonts w:cs="VAGRoundedStd-Light"/>
                <w:color w:val="000000"/>
                <w:sz w:val="20"/>
              </w:rPr>
              <w:t xml:space="preserve">Texto com problemas de estrutura, com erros de sintaxe, de pontuação e/ou de ortografia, cuja gravidade implique perda de alguma inteligibilidade e/ou de sentido. </w:t>
            </w:r>
          </w:p>
        </w:tc>
      </w:tr>
    </w:tbl>
    <w:p w:rsidR="005D4B4E" w:rsidRPr="005D4B4E" w:rsidRDefault="004D120A" w:rsidP="00896DE9">
      <w:pPr>
        <w:autoSpaceDE w:val="0"/>
        <w:autoSpaceDN w:val="0"/>
        <w:adjustRightInd w:val="0"/>
        <w:spacing w:after="0" w:line="240" w:lineRule="auto"/>
        <w:jc w:val="both"/>
        <w:rPr>
          <w:rFonts w:cs="VAGRoundedStd-Light"/>
          <w:color w:val="000000"/>
        </w:rPr>
      </w:pPr>
      <w:r w:rsidRPr="00B949D7">
        <w:rPr>
          <w:rFonts w:cs="DINOT-Bold"/>
          <w:b/>
          <w:bCs/>
          <w:color w:val="000000"/>
          <w:sz w:val="20"/>
        </w:rPr>
        <w:t>NOTA</w:t>
      </w:r>
      <w:r w:rsidRPr="00B949D7">
        <w:rPr>
          <w:rFonts w:cs="DINOT-Regular"/>
          <w:color w:val="000000"/>
          <w:sz w:val="20"/>
        </w:rPr>
        <w:t>: Esta matriz segue as orientações do Gabinete de Avaliação Educacional (GAVE/IAVE) para o teste intermédio de História e a elaboração de matrizes das Provas de Equivalência à Frequência do 3.º ciclo e do Ensino Secundário.</w:t>
      </w:r>
    </w:p>
    <w:sectPr w:rsidR="005D4B4E" w:rsidRPr="005D4B4E" w:rsidSect="00896DE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41D7"/>
    <w:multiLevelType w:val="hybridMultilevel"/>
    <w:tmpl w:val="9B7ECA44"/>
    <w:lvl w:ilvl="0" w:tplc="3E06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93227"/>
    <w:multiLevelType w:val="hybridMultilevel"/>
    <w:tmpl w:val="C4323D52"/>
    <w:lvl w:ilvl="0" w:tplc="710AEE7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014C6"/>
    <w:multiLevelType w:val="multilevel"/>
    <w:tmpl w:val="81FC0F52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6A"/>
    <w:rsid w:val="000E65B4"/>
    <w:rsid w:val="00134C6A"/>
    <w:rsid w:val="00164087"/>
    <w:rsid w:val="002B463B"/>
    <w:rsid w:val="003E502B"/>
    <w:rsid w:val="004D120A"/>
    <w:rsid w:val="0054684A"/>
    <w:rsid w:val="00586A0E"/>
    <w:rsid w:val="0059726A"/>
    <w:rsid w:val="005B0042"/>
    <w:rsid w:val="005D4B4E"/>
    <w:rsid w:val="00601334"/>
    <w:rsid w:val="00633E59"/>
    <w:rsid w:val="00686059"/>
    <w:rsid w:val="00896DE9"/>
    <w:rsid w:val="008E6948"/>
    <w:rsid w:val="008F798D"/>
    <w:rsid w:val="00915587"/>
    <w:rsid w:val="00985D83"/>
    <w:rsid w:val="009D5332"/>
    <w:rsid w:val="00B2491D"/>
    <w:rsid w:val="00B949D7"/>
    <w:rsid w:val="00CB7D3C"/>
    <w:rsid w:val="00CD6120"/>
    <w:rsid w:val="00D05A1A"/>
    <w:rsid w:val="00D86A75"/>
    <w:rsid w:val="00DA2A65"/>
    <w:rsid w:val="00DD016B"/>
    <w:rsid w:val="00E6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A296-D870-411C-8B2B-78724285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6A"/>
    <w:pPr>
      <w:ind w:left="720"/>
      <w:contextualSpacing/>
    </w:pPr>
  </w:style>
  <w:style w:type="table" w:styleId="TableGrid">
    <w:name w:val="Table Grid"/>
    <w:basedOn w:val="TableNormal"/>
    <w:uiPriority w:val="39"/>
    <w:rsid w:val="004D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94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9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E89C-591C-49D1-B1CB-62841EF7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Magalhães</cp:lastModifiedBy>
  <cp:revision>4</cp:revision>
  <dcterms:created xsi:type="dcterms:W3CDTF">2015-01-02T10:01:00Z</dcterms:created>
  <dcterms:modified xsi:type="dcterms:W3CDTF">2015-01-02T11:16:00Z</dcterms:modified>
</cp:coreProperties>
</file>