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Ficha de avaliação sumativa n.°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2376D7" w:rsidP="002376D7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Ficha de avaliação sumativa n.° 4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2376D7" w:rsidP="002376D7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22DE9" w:rsidRDefault="00822DE9" w:rsidP="002376D7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2"/>
          <w:szCs w:val="18"/>
        </w:rPr>
        <w:sectPr w:rsidR="00822DE9" w:rsidSect="00E6022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2376D7" w:rsidRPr="00822DE9" w:rsidRDefault="002376D7" w:rsidP="002376D7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8"/>
        </w:rPr>
      </w:pPr>
      <w:r w:rsidRPr="00822DE9">
        <w:rPr>
          <w:rFonts w:asciiTheme="minorHAnsi" w:hAnsiTheme="minorHAnsi" w:cs="VAGRoundedStd-Light"/>
          <w:color w:val="595743"/>
          <w:sz w:val="28"/>
        </w:rPr>
        <w:lastRenderedPageBreak/>
        <w:t>GRUPO I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Black"/>
          <w:b/>
          <w:color w:val="EE1941"/>
        </w:rPr>
      </w:pPr>
      <w:r w:rsidRPr="00822DE9">
        <w:rPr>
          <w:rFonts w:asciiTheme="minorHAnsi" w:hAnsiTheme="minorHAnsi" w:cs="DINOT-Black"/>
          <w:b/>
          <w:color w:val="EE1941"/>
        </w:rPr>
        <w:t>1.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1.1.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Opção </w:t>
      </w:r>
      <w:r w:rsidRPr="00822DE9">
        <w:rPr>
          <w:rFonts w:asciiTheme="minorHAnsi" w:hAnsiTheme="minorHAnsi" w:cs="DINOT-Bold"/>
          <w:b/>
          <w:bCs/>
          <w:color w:val="000000"/>
        </w:rPr>
        <w:t>C</w:t>
      </w:r>
      <w:r w:rsidRPr="00822DE9">
        <w:rPr>
          <w:rFonts w:asciiTheme="minorHAnsi" w:hAnsiTheme="minorHAnsi" w:cs="DINOT-Regular"/>
          <w:color w:val="000000"/>
        </w:rPr>
        <w:t>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Black"/>
          <w:b/>
          <w:color w:val="EE1941"/>
        </w:rPr>
      </w:pPr>
      <w:r w:rsidRPr="00822DE9">
        <w:rPr>
          <w:rFonts w:asciiTheme="minorHAnsi" w:hAnsiTheme="minorHAnsi" w:cs="DINOT-Black"/>
          <w:b/>
          <w:color w:val="EE1941"/>
        </w:rPr>
        <w:t>2.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2.1.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Com a chegada de Hitler ao poder na Alemanha,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bookmarkStart w:id="0" w:name="_GoBack"/>
      <w:bookmarkEnd w:id="0"/>
      <w:r w:rsidRPr="00822DE9">
        <w:rPr>
          <w:rFonts w:asciiTheme="minorHAnsi" w:hAnsiTheme="minorHAnsi" w:cs="DINOT-Regular"/>
          <w:color w:val="000000"/>
        </w:rPr>
        <w:t>esta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parte à conquista da Europa. Em 1933 a Alemanha abandona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 Sociedade das Nações [FA], restabelece o serviço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militar e orienta a produção industrial para rearmar o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país. Entre 1936 e 1939, lança-se na conquista do seu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“espaço vital”, na construção da “Grande Alemanha”: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ocupa a Renânia, anexa a Áustria e a região dos Sudetas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(norte da Checoslováquia), violando, assim, as deliberações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do Tratado de Versalhes [FA].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2.2.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Perante a inoperância da SDN e a passividade das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nações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democráticas (França e Inglaterra), a Alemanha foi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avançando com as suas pretensões. Em 1939 as tropas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alemãs ocupam a Checoslováquia e exigem à Polónia 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entrega da cidade de Danzig. Esta última pretensão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alemã vai despoletar uma mudança de atitude nas potências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democráticas (França e Inglaterra) que garantem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auxílio à Polónia em caso de agressão alemã. A 1 de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setembro de 1939, a Alemanha invade a Polónia. Dois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dias depois, a 3 de setembro de 1939, Inglaterra e França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declaram guerra à Alemanha. Iniciava-se assim 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2.ª Guerra Mundial.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2.3.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1 de setembro de 1939.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Black"/>
          <w:b/>
          <w:color w:val="EE1941"/>
        </w:rPr>
      </w:pPr>
      <w:r w:rsidRPr="00822DE9">
        <w:rPr>
          <w:rFonts w:asciiTheme="minorHAnsi" w:hAnsiTheme="minorHAnsi" w:cs="DINOT-Black"/>
          <w:b/>
          <w:color w:val="EE1941"/>
        </w:rPr>
        <w:t>3.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3.1.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Eixo – Alemanha, Itália, Japão.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Aliados – Inglaterra, França, URSS.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3.2.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Alemanha e Itália – Eixo Roma-Berlim.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Alemanha e Japão – Pacto Anti-komitern.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3.3.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A 1 de setembro de 1939 a Alemanha invade a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Polónia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[FC]. Após essa ofensiva sobre a Polónia, a Alemanha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avançava agora sobre o ocidente europeu. Em abril de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1940 ataca a Dinamarca e a Noruega [FC] (para assegurar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o ferro sueco e estabelecer bases militares). Em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maio submete os Países Baixos, a Bélgica e grande parte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da França [FC].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3.4.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Guerra-relâmpago.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3.5.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Em finais de 1940 apenas a Inglaterra e parte da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França,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bem como alguns países neutrais (Portugal, Espanha,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Suécia, Suíça) escapavam a dominação alemã. Para inverter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este cenário, Hitler, recorrendo à recém-criada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Italic"/>
          <w:i/>
          <w:iCs/>
          <w:color w:val="000000"/>
        </w:rPr>
        <w:t>Luftwaffe</w:t>
      </w:r>
      <w:r w:rsidRPr="00822DE9">
        <w:rPr>
          <w:rFonts w:asciiTheme="minorHAnsi" w:hAnsiTheme="minorHAnsi" w:cs="DINOT-Regular"/>
          <w:color w:val="000000"/>
        </w:rPr>
        <w:t>, tentou dominar o espaço aéreo inglês travando,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nesta altura, duros combates aéreos nos céus ingleses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 na extensão do Canal da Mancha.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Black"/>
          <w:b/>
          <w:color w:val="EE1941"/>
        </w:rPr>
      </w:pPr>
      <w:r w:rsidRPr="00822DE9">
        <w:rPr>
          <w:rFonts w:asciiTheme="minorHAnsi" w:hAnsiTheme="minorHAnsi" w:cs="DINOT-Black"/>
          <w:b/>
          <w:color w:val="EE1941"/>
        </w:rPr>
        <w:t>4.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4.1.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O ataque à frota americana estacionada no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Pacífico, em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Pearl Harbour, a 7 de dezembro de 1941.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4.2.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A partir do inverno de 1942 a sorte da 2.ª Guerra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Mundial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começa a mudar. A entrada em guerra dos EUA foi decisiva</w:t>
      </w:r>
      <w:r w:rsidR="00822DE9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para esta alteração. Há, portanto, um conjunto de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batalhas neste período que vão transformar o decurso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do conflito. No Atlântico a poderosa máquina de guerra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lastRenderedPageBreak/>
        <w:t>americana, equipada com porta-aviões, submarinos 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bombardeiros, começa a fazer estragos consideráveis na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frota alemã. No Mediterrâneo, como podemos observar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através do mapa [FC], as forças inglesas derrotam os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alemães no Egito e as forças anglo-americanas desembarcam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em Marrocos e libertam o Norte de África; em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seguida conquistam o sul de Itália e derrubam Mussolini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do poder [FC]. Já na frente oriental, os alemães sofrem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pesadas derrotas às mãos dos soviéticos [FC]. Na frente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oriental, as tropas soviéticas avançavam determinantemente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ao longo do leste europeu em direção a Berlim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[FC]. A 30 de abril de 1945 Adolf Hitler suicida-se e, uma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semana mais tarde, a 8 de maio de 1945, depois da tomada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de Berlim pelo Exército Vermelho, a Alemanha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rende-se, terminando assim a guerra na Europa. Contudo,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 2.ª Guerra Mundial só terminará após o lançamento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de duas bombas atómicas, primeiro a 6 de agosto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em Hiroxima e, depois, a 9 de agosto em Nagasaki. Finalmente,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 2 de setembro de 1945 o Japão assina a rendição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oficial, findando assim a 2.ª Guerra Mundial.</w:t>
      </w:r>
    </w:p>
    <w:p w:rsidR="000617BE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b/>
          <w:color w:val="EE1941"/>
        </w:rPr>
        <w:t>4.3.</w:t>
      </w:r>
      <w:r w:rsidRPr="00822DE9">
        <w:rPr>
          <w:rFonts w:asciiTheme="minorHAnsi" w:hAnsiTheme="minorHAnsi" w:cs="DINOT-Black"/>
          <w:color w:val="EE1941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 xml:space="preserve">A Alemanha nazi tinha como um dos seus </w:t>
      </w:r>
    </w:p>
    <w:p w:rsidR="002376D7" w:rsidRPr="00822DE9" w:rsidRDefault="002376D7" w:rsidP="000617BE">
      <w:pPr>
        <w:widowControl/>
        <w:spacing w:before="0"/>
        <w:ind w:left="34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Regular"/>
          <w:color w:val="000000"/>
        </w:rPr>
        <w:t>princípios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ideológicos fundamentais o racismo, mais concretamente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o antissemitismo. Os alemães consideravam-se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uma raça superior e, no início da guerra, começaram por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perseguir e isolar os judeus em guetos (bairros isolados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da restante população), onde viviam em condições degradantes.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A partir de 1942 Hitler decreta “a Solução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Final” – extermínio total e completo de todos os judeus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da Europa (genocídio – destruição de um grupo étnico ou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raça). Os judeus foram levados para campos de concentração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[FF], onde foram asfixiados em câmaras de gás 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queimados em fornos crematórios. As expressões Holocausto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e Genocídio são, portanto, associadas à 2.ª Guerra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Mundial, uma vez que estas tiveram lugar durante este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conflito, contribuindo para o adensar dos atos de barbárie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cometidos em período de guerra.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color w:val="EE1941"/>
        </w:rPr>
        <w:t xml:space="preserve">5. </w:t>
      </w:r>
      <w:r w:rsidRPr="00822DE9">
        <w:rPr>
          <w:rFonts w:asciiTheme="minorHAnsi" w:hAnsiTheme="minorHAnsi" w:cs="DINOT-Regular"/>
          <w:color w:val="000000"/>
        </w:rPr>
        <w:t>V; V; F; F; V.</w:t>
      </w:r>
    </w:p>
    <w:p w:rsidR="002376D7" w:rsidRPr="00822DE9" w:rsidRDefault="002376D7" w:rsidP="000617BE">
      <w:pPr>
        <w:widowControl/>
        <w:spacing w:before="0"/>
        <w:ind w:left="17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c) </w:t>
      </w:r>
      <w:r w:rsidRPr="00822DE9">
        <w:rPr>
          <w:rFonts w:asciiTheme="minorHAnsi" w:hAnsiTheme="minorHAnsi" w:cs="DINOT-Regular"/>
          <w:color w:val="000000"/>
        </w:rPr>
        <w:t>Após a 2.ª Guerra Mundial a Alemanha foi dividida em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quatro zonas de influência: EUA, Inglaterra, França 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URSS;</w:t>
      </w:r>
    </w:p>
    <w:p w:rsidR="002376D7" w:rsidRPr="00822DE9" w:rsidRDefault="002376D7" w:rsidP="000617BE">
      <w:pPr>
        <w:widowControl/>
        <w:spacing w:before="0"/>
        <w:ind w:left="17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d) </w:t>
      </w:r>
      <w:r w:rsidRPr="00822DE9">
        <w:rPr>
          <w:rFonts w:asciiTheme="minorHAnsi" w:hAnsiTheme="minorHAnsi" w:cs="DINOT-Regular"/>
          <w:color w:val="000000"/>
        </w:rPr>
        <w:t>Os criminosos de guerra foram julgados pelo tribunal de</w:t>
      </w:r>
      <w:r w:rsidR="000617BE">
        <w:rPr>
          <w:rFonts w:asciiTheme="minorHAnsi" w:hAnsiTheme="minorHAnsi" w:cs="DINOT-Regular"/>
          <w:color w:val="000000"/>
        </w:rPr>
        <w:t xml:space="preserve"> </w:t>
      </w:r>
      <w:r w:rsidRPr="00822DE9">
        <w:rPr>
          <w:rFonts w:asciiTheme="minorHAnsi" w:hAnsiTheme="minorHAnsi" w:cs="DINOT-Regular"/>
          <w:color w:val="000000"/>
        </w:rPr>
        <w:t>Nuremberga.</w:t>
      </w:r>
    </w:p>
    <w:p w:rsidR="002376D7" w:rsidRPr="00822DE9" w:rsidRDefault="002376D7" w:rsidP="002376D7">
      <w:pPr>
        <w:widowControl/>
        <w:spacing w:before="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lack"/>
          <w:color w:val="EE1941"/>
        </w:rPr>
        <w:t xml:space="preserve">6. </w:t>
      </w:r>
      <w:r w:rsidRPr="00822DE9">
        <w:rPr>
          <w:rFonts w:asciiTheme="minorHAnsi" w:hAnsiTheme="minorHAnsi" w:cs="DINOT-Bold"/>
          <w:b/>
          <w:bCs/>
          <w:color w:val="000000"/>
        </w:rPr>
        <w:t xml:space="preserve">a) </w:t>
      </w:r>
      <w:r w:rsidRPr="00822DE9">
        <w:rPr>
          <w:rFonts w:asciiTheme="minorHAnsi" w:hAnsiTheme="minorHAnsi" w:cs="DINOT-Regular"/>
          <w:color w:val="000000"/>
        </w:rPr>
        <w:t>Da qual fazem parte todos os estados-membros;</w:t>
      </w:r>
    </w:p>
    <w:p w:rsidR="002376D7" w:rsidRPr="00822DE9" w:rsidRDefault="002376D7" w:rsidP="000617BE">
      <w:pPr>
        <w:widowControl/>
        <w:spacing w:before="0"/>
        <w:ind w:left="17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b) </w:t>
      </w:r>
      <w:r w:rsidRPr="00822DE9">
        <w:rPr>
          <w:rFonts w:asciiTheme="minorHAnsi" w:hAnsiTheme="minorHAnsi" w:cs="DINOT-Regular"/>
          <w:color w:val="000000"/>
        </w:rPr>
        <w:t>Conselho de Segurança;</w:t>
      </w:r>
    </w:p>
    <w:p w:rsidR="002376D7" w:rsidRPr="00822DE9" w:rsidRDefault="002376D7" w:rsidP="000617BE">
      <w:pPr>
        <w:widowControl/>
        <w:spacing w:before="0"/>
        <w:ind w:left="17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c) </w:t>
      </w:r>
      <w:r w:rsidRPr="00822DE9">
        <w:rPr>
          <w:rFonts w:asciiTheme="minorHAnsi" w:hAnsiTheme="minorHAnsi" w:cs="DINOT-Regular"/>
          <w:color w:val="000000"/>
        </w:rPr>
        <w:t>Secretário-Geral;</w:t>
      </w:r>
    </w:p>
    <w:p w:rsidR="002376D7" w:rsidRPr="00822DE9" w:rsidRDefault="002376D7" w:rsidP="000617BE">
      <w:pPr>
        <w:widowControl/>
        <w:spacing w:before="0"/>
        <w:ind w:left="17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d) </w:t>
      </w:r>
      <w:r w:rsidRPr="00822DE9">
        <w:rPr>
          <w:rFonts w:asciiTheme="minorHAnsi" w:hAnsiTheme="minorHAnsi" w:cs="DINOT-Regular"/>
          <w:color w:val="000000"/>
        </w:rPr>
        <w:t>FMI;</w:t>
      </w:r>
    </w:p>
    <w:p w:rsidR="002376D7" w:rsidRPr="00822DE9" w:rsidRDefault="002376D7" w:rsidP="000617BE">
      <w:pPr>
        <w:widowControl/>
        <w:spacing w:before="0"/>
        <w:ind w:left="170"/>
        <w:jc w:val="left"/>
        <w:rPr>
          <w:rFonts w:asciiTheme="minorHAnsi" w:hAnsiTheme="minorHAnsi" w:cs="DINOT-Regular"/>
          <w:color w:val="000000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e) </w:t>
      </w:r>
      <w:r w:rsidRPr="00822DE9">
        <w:rPr>
          <w:rFonts w:asciiTheme="minorHAnsi" w:hAnsiTheme="minorHAnsi" w:cs="DINOT-Regular"/>
          <w:color w:val="000000"/>
        </w:rPr>
        <w:t>UNESCO;</w:t>
      </w:r>
    </w:p>
    <w:p w:rsidR="00E60224" w:rsidRPr="00822DE9" w:rsidRDefault="002376D7" w:rsidP="000617BE">
      <w:pPr>
        <w:spacing w:before="0"/>
        <w:ind w:left="170"/>
        <w:rPr>
          <w:rFonts w:asciiTheme="minorHAnsi" w:hAnsiTheme="minorHAnsi"/>
        </w:rPr>
      </w:pPr>
      <w:r w:rsidRPr="00822DE9">
        <w:rPr>
          <w:rFonts w:asciiTheme="minorHAnsi" w:hAnsiTheme="minorHAnsi" w:cs="DINOT-Bold"/>
          <w:b/>
          <w:bCs/>
          <w:color w:val="000000"/>
        </w:rPr>
        <w:t xml:space="preserve">f) </w:t>
      </w:r>
      <w:r w:rsidRPr="00822DE9">
        <w:rPr>
          <w:rFonts w:asciiTheme="minorHAnsi" w:hAnsiTheme="minorHAnsi" w:cs="DINOT-Regular"/>
          <w:color w:val="000000"/>
        </w:rPr>
        <w:t>UNICEF.</w:t>
      </w:r>
    </w:p>
    <w:sectPr w:rsidR="00E60224" w:rsidRPr="00822DE9" w:rsidSect="00822DE9">
      <w:type w:val="continuous"/>
      <w:pgSz w:w="11906" w:h="16838"/>
      <w:pgMar w:top="851" w:right="1134" w:bottom="85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91" w:rsidRDefault="003B6891" w:rsidP="00B9191E">
      <w:pPr>
        <w:spacing w:before="0"/>
      </w:pPr>
      <w:r>
        <w:separator/>
      </w:r>
    </w:p>
  </w:endnote>
  <w:endnote w:type="continuationSeparator" w:id="0">
    <w:p w:rsidR="003B6891" w:rsidRDefault="003B6891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91" w:rsidRDefault="003B6891" w:rsidP="00B9191E">
      <w:pPr>
        <w:spacing w:before="0"/>
      </w:pPr>
      <w:r>
        <w:separator/>
      </w:r>
    </w:p>
  </w:footnote>
  <w:footnote w:type="continuationSeparator" w:id="0">
    <w:p w:rsidR="003B6891" w:rsidRDefault="003B6891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617BE"/>
    <w:rsid w:val="000D38C0"/>
    <w:rsid w:val="000E2849"/>
    <w:rsid w:val="001010EE"/>
    <w:rsid w:val="00153E02"/>
    <w:rsid w:val="00177184"/>
    <w:rsid w:val="00197FF2"/>
    <w:rsid w:val="00221246"/>
    <w:rsid w:val="002376D7"/>
    <w:rsid w:val="002515F4"/>
    <w:rsid w:val="002A4B47"/>
    <w:rsid w:val="00315EA3"/>
    <w:rsid w:val="00347C48"/>
    <w:rsid w:val="00381874"/>
    <w:rsid w:val="003B6891"/>
    <w:rsid w:val="003C3DED"/>
    <w:rsid w:val="003E3E13"/>
    <w:rsid w:val="004049A8"/>
    <w:rsid w:val="00416E2E"/>
    <w:rsid w:val="00444590"/>
    <w:rsid w:val="00462D51"/>
    <w:rsid w:val="004D0ADB"/>
    <w:rsid w:val="005C5BC7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2DE9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96A56"/>
    <w:rsid w:val="00CF5C84"/>
    <w:rsid w:val="00D22629"/>
    <w:rsid w:val="00D370F7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D4E22-A0A3-46C7-8468-FCB2E8F5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726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2015-02-12T23:39:00Z</dcterms:created>
  <dcterms:modified xsi:type="dcterms:W3CDTF">2015-02-12T23:44:00Z</dcterms:modified>
</cp:coreProperties>
</file>