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6F09DA" w:rsidRPr="00DF68B4" w14:paraId="5DB5EDF5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071C24A1" w14:textId="1D1AB208" w:rsidR="006F09DA" w:rsidRPr="00DF68B4" w:rsidRDefault="006F09DA" w:rsidP="006F09D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 w:rsidR="00136D28">
              <w:rPr>
                <w:rFonts w:asciiTheme="majorHAnsi" w:hAnsiTheme="majorHAnsi"/>
                <w:b/>
              </w:rPr>
              <w:t xml:space="preserve"> Terra em transformação</w:t>
            </w:r>
          </w:p>
        </w:tc>
      </w:tr>
      <w:tr w:rsidR="006F09DA" w:rsidRPr="00DF68B4" w14:paraId="10332010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2776B60F" w14:textId="77777777" w:rsidR="006F09DA" w:rsidRPr="00DF68B4" w:rsidRDefault="006F09DA" w:rsidP="006F09D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Consequências da dinâmica interna da Terra</w:t>
            </w:r>
          </w:p>
        </w:tc>
      </w:tr>
      <w:tr w:rsidR="006F1A07" w:rsidRPr="00DF68B4" w14:paraId="0410DE98" w14:textId="77777777" w:rsidTr="004A279C">
        <w:tc>
          <w:tcPr>
            <w:tcW w:w="5670" w:type="dxa"/>
            <w:gridSpan w:val="2"/>
            <w:vAlign w:val="center"/>
          </w:tcPr>
          <w:p w14:paraId="1461CBA6" w14:textId="57E1705B" w:rsidR="006F1A07" w:rsidRPr="00DF68B4" w:rsidRDefault="006F1A07" w:rsidP="006F1A07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06CE5DE0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35F40130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6CDE6BB9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2BD77784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6F09DA" w:rsidRPr="00DF68B4" w14:paraId="34F6129C" w14:textId="77777777" w:rsidTr="004A279C">
        <w:tc>
          <w:tcPr>
            <w:tcW w:w="5670" w:type="dxa"/>
            <w:gridSpan w:val="2"/>
            <w:vAlign w:val="center"/>
          </w:tcPr>
          <w:p w14:paraId="56529A0B" w14:textId="77777777" w:rsidR="00390E5C" w:rsidRPr="00DF68B4" w:rsidRDefault="00390E5C" w:rsidP="00390E5C">
            <w:pPr>
              <w:pStyle w:val="ListParagraph"/>
              <w:shd w:val="clear" w:color="auto" w:fill="FFFFFF"/>
              <w:tabs>
                <w:tab w:val="left" w:pos="216"/>
              </w:tabs>
              <w:spacing w:line="221" w:lineRule="exact"/>
              <w:ind w:left="170" w:right="62"/>
              <w:rPr>
                <w:rFonts w:asciiTheme="majorHAnsi" w:hAnsiTheme="majorHAnsi"/>
                <w:sz w:val="18"/>
                <w:szCs w:val="18"/>
              </w:rPr>
            </w:pPr>
          </w:p>
          <w:p w14:paraId="16382651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aluno localiza geograficamente, a nível mundial, zonas de maior risco sísmico e de vulcões ativos,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associando-as aos limites das placas litosféricas.</w:t>
            </w:r>
          </w:p>
          <w:p w14:paraId="0322B4A4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0 aluno identifica e interpreta o significado dos diferentes constituintes de um vulcão.</w:t>
            </w:r>
          </w:p>
          <w:p w14:paraId="6578A86E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0 aluno analisa atividades práticas de simulação de erupções vulcânicas, estabelecendo correspondências e identificando as limitações dessas simulações.</w:t>
            </w:r>
          </w:p>
          <w:p w14:paraId="60E26E49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0 aluno relaciona a viscosidade do magma com o tipo de erupção (efusiva e explosiva), as características do aparelho vulcânico (forma e tamanho do cone) e os materiais emitidos (líquidos, sólidos/piroclastos e gasosos).</w:t>
            </w:r>
          </w:p>
          <w:p w14:paraId="69ADCDB2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aluno discute benefícios da atividade vulcânica, em particular as potencialidades das manifestações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secundárias de vulcanismo.</w:t>
            </w:r>
          </w:p>
          <w:p w14:paraId="4BB90413" w14:textId="51047F3F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 associa sismos a uma libertação de energia acumulada nas rochas e libertada no hipocentro sob a </w:t>
            </w:r>
            <w:r w:rsidR="006A1062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forma de ondas sísmicas, dete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tadas pelos sismógrafos e registadas em sismogramas.</w:t>
            </w:r>
          </w:p>
          <w:p w14:paraId="13DE21A6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aluno diferencia, quanto aos pressupostos em que se baseiam (danos causados e quantidade de energia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libertada), as escalas de Mercalli modificada e de Richter, utilizadas para avaliar um sismo.</w:t>
            </w:r>
          </w:p>
          <w:p w14:paraId="4BBDA17D" w14:textId="4E202CE8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interpreta cartas de isossistas, identificando o epicentro do sismo, e discute </w:t>
            </w:r>
            <w:r w:rsidR="002370FB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fatores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que determinam os estragos verificados.</w:t>
            </w:r>
          </w:p>
          <w:p w14:paraId="44E91D7D" w14:textId="735B8D4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 identifica medidas de prevenção e proteção da população quanto à atividade sísmica, em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particular na área da construção civil e das atitudes e co</w:t>
            </w:r>
            <w:r w:rsidR="006A1062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mportamentos individuais e cole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tivos.</w:t>
            </w:r>
          </w:p>
          <w:p w14:paraId="39EC81CC" w14:textId="77777777" w:rsidR="006F09DA" w:rsidRPr="00DF68B4" w:rsidRDefault="006F09DA" w:rsidP="006F09D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aluno justifica a importância dos centros de vulcanologia e institutos geofísicos no estudo da atividade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sísmica e vulcânica, nomeadamente na sua previsão e prevenção.</w:t>
            </w:r>
          </w:p>
          <w:p w14:paraId="3E1D1F86" w14:textId="77777777" w:rsidR="00390E5C" w:rsidRPr="00DF68B4" w:rsidRDefault="00390E5C" w:rsidP="00390E5C">
            <w:pPr>
              <w:pStyle w:val="ListParagraph"/>
              <w:shd w:val="clear" w:color="auto" w:fill="FFFFFF"/>
              <w:tabs>
                <w:tab w:val="left" w:pos="216"/>
              </w:tabs>
              <w:spacing w:line="221" w:lineRule="exact"/>
              <w:ind w:left="170" w:right="6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7" w:type="dxa"/>
            <w:vAlign w:val="center"/>
          </w:tcPr>
          <w:p w14:paraId="7E4F2CB8" w14:textId="77777777" w:rsidR="006F09DA" w:rsidRPr="00DF68B4" w:rsidRDefault="006F09DA" w:rsidP="006F09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Atividade vulcânica: riscos e benefícios da atividade vulcânica.</w:t>
            </w:r>
          </w:p>
          <w:p w14:paraId="3E739544" w14:textId="77777777" w:rsidR="006F09DA" w:rsidRPr="00DF68B4" w:rsidRDefault="006F09DA" w:rsidP="006F09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73322672" w14:textId="77777777" w:rsidR="006F09DA" w:rsidRPr="00DF68B4" w:rsidRDefault="006F09DA" w:rsidP="006F09DA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Os vulcões e sua distribuição.</w:t>
            </w:r>
          </w:p>
          <w:p w14:paraId="65F9CDF6" w14:textId="77777777" w:rsidR="006F09DA" w:rsidRPr="00DF68B4" w:rsidRDefault="006F09DA" w:rsidP="006F09DA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Materiais expelidos pelos vulcões.</w:t>
            </w:r>
          </w:p>
          <w:p w14:paraId="3B5F3B99" w14:textId="77777777" w:rsidR="006F09DA" w:rsidRPr="00DF68B4" w:rsidRDefault="006F09DA" w:rsidP="006F09DA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As erupções vulcânicas.</w:t>
            </w:r>
          </w:p>
          <w:p w14:paraId="4F7E1F45" w14:textId="77777777" w:rsidR="006F09DA" w:rsidRPr="00DF68B4" w:rsidRDefault="006F09DA" w:rsidP="006F09DA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Vulcanismo secundário.</w:t>
            </w:r>
          </w:p>
          <w:p w14:paraId="348266DE" w14:textId="77777777" w:rsidR="006F09DA" w:rsidRPr="00DF68B4" w:rsidRDefault="006F09DA" w:rsidP="006F09DA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Riscos e benefícios da atividade vulcânica.</w:t>
            </w:r>
          </w:p>
          <w:p w14:paraId="09B13376" w14:textId="77777777" w:rsidR="006F09DA" w:rsidRPr="00DF68B4" w:rsidRDefault="006F09DA" w:rsidP="006F09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6E0FDD0D" w14:textId="77777777" w:rsidR="006F09DA" w:rsidRPr="00DF68B4" w:rsidRDefault="006F09DA" w:rsidP="006F09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Atividade sísmica: riscos e proteção das populações.</w:t>
            </w:r>
          </w:p>
          <w:p w14:paraId="71A03BD9" w14:textId="77777777" w:rsidR="006F09DA" w:rsidRPr="00DF68B4" w:rsidRDefault="006F09DA" w:rsidP="006F09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2B24E50D" w14:textId="77777777" w:rsidR="006F09DA" w:rsidRPr="00DF68B4" w:rsidRDefault="006F09DA" w:rsidP="006F09D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Os sismos e sua distribuição.</w:t>
            </w:r>
          </w:p>
          <w:p w14:paraId="4173E8E2" w14:textId="77777777" w:rsidR="006F09DA" w:rsidRPr="00DF68B4" w:rsidRDefault="006F09DA" w:rsidP="006F09D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Registo e avaliação dos sismos.</w:t>
            </w:r>
          </w:p>
          <w:p w14:paraId="16B9F2AE" w14:textId="77777777" w:rsidR="006F09DA" w:rsidRPr="00DF68B4" w:rsidRDefault="006F09DA" w:rsidP="006F09D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Riscos e proteção das populações.</w:t>
            </w:r>
          </w:p>
          <w:p w14:paraId="769FC91C" w14:textId="77777777" w:rsidR="006F09DA" w:rsidRPr="00DF68B4" w:rsidRDefault="006F09DA" w:rsidP="006F09DA">
            <w:pPr>
              <w:pStyle w:val="ListParagraph"/>
              <w:overflowPunct w:val="0"/>
              <w:autoSpaceDE w:val="0"/>
              <w:autoSpaceDN w:val="0"/>
              <w:adjustRightInd w:val="0"/>
              <w:ind w:left="170"/>
              <w:contextualSpacing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F33772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A30F6C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7D935136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179F808D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5D13657B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4C290BBB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5DB3DBED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5808E884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68CCEC7D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18995DC4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4EAEE053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Atividades laboratoriais.</w:t>
            </w:r>
          </w:p>
          <w:p w14:paraId="25E0ABDE" w14:textId="77777777" w:rsidR="006F09DA" w:rsidRPr="00DF68B4" w:rsidRDefault="006F09DA" w:rsidP="006F09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</w:t>
            </w:r>
            <w:r w:rsidRPr="006A1062">
              <w:rPr>
                <w:rFonts w:asciiTheme="majorHAnsi" w:hAnsiTheme="majorHAnsi"/>
                <w:i/>
                <w:sz w:val="18"/>
                <w:szCs w:val="18"/>
              </w:rPr>
              <w:t>websites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6A1062">
              <w:rPr>
                <w:rFonts w:asciiTheme="majorHAnsi" w:hAnsiTheme="majorHAnsi"/>
                <w:i/>
                <w:sz w:val="18"/>
                <w:szCs w:val="18"/>
              </w:rPr>
              <w:t>software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, fotografia, etc.).</w:t>
            </w:r>
          </w:p>
          <w:p w14:paraId="372E23B7" w14:textId="77777777" w:rsidR="006F09DA" w:rsidRPr="00DF68B4" w:rsidRDefault="006F09DA" w:rsidP="006F09DA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1CE293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F2CD2A1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2599514B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Relatórios das atividades laboratoriais.</w:t>
            </w:r>
          </w:p>
          <w:p w14:paraId="05D07434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2906AD15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002ACF55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e-Portefólio.</w:t>
            </w:r>
          </w:p>
          <w:p w14:paraId="0560950C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6542A46E" w14:textId="77777777" w:rsidR="006F09DA" w:rsidRPr="00DF68B4" w:rsidRDefault="006F09DA" w:rsidP="006F09D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48AB0B94" w14:textId="77777777" w:rsidR="006F09DA" w:rsidRPr="00DF68B4" w:rsidRDefault="006F09DA" w:rsidP="006F09DA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64E80AE0" w14:textId="77777777" w:rsidR="006F09DA" w:rsidRPr="00DF68B4" w:rsidRDefault="006F09DA" w:rsidP="006F09D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10</w:t>
            </w:r>
          </w:p>
        </w:tc>
      </w:tr>
      <w:tr w:rsidR="006F09DA" w:rsidRPr="00DF68B4" w14:paraId="059D5030" w14:textId="77777777" w:rsidTr="006F1A07">
        <w:tc>
          <w:tcPr>
            <w:tcW w:w="14180" w:type="dxa"/>
            <w:gridSpan w:val="6"/>
          </w:tcPr>
          <w:p w14:paraId="5F34BF57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6F09DA" w:rsidRPr="00DF68B4" w14:paraId="7A5ADB69" w14:textId="77777777" w:rsidTr="006F1A07">
        <w:tc>
          <w:tcPr>
            <w:tcW w:w="2518" w:type="dxa"/>
            <w:tcBorders>
              <w:right w:val="nil"/>
            </w:tcBorders>
            <w:vAlign w:val="center"/>
          </w:tcPr>
          <w:p w14:paraId="7F1A0445" w14:textId="77777777" w:rsidR="006F09DA" w:rsidRPr="00DF68B4" w:rsidRDefault="006F09DA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422CC2B" w14:textId="7C8D9C0C" w:rsidR="006F09DA" w:rsidRPr="00DF68B4" w:rsidRDefault="006A1062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Ciências Físico-Q</w:t>
            </w:r>
            <w:r w:rsidR="006F09DA" w:rsidRPr="00DF68B4">
              <w:rPr>
                <w:rFonts w:asciiTheme="majorHAnsi" w:hAnsiTheme="majorHAnsi"/>
                <w:b/>
                <w:sz w:val="18"/>
                <w:szCs w:val="18"/>
              </w:rPr>
              <w:t>uímicas:</w:t>
            </w:r>
          </w:p>
          <w:p w14:paraId="65FF6642" w14:textId="1F12DA21" w:rsidR="006F09DA" w:rsidRPr="00DF68B4" w:rsidRDefault="006A1062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Educação F</w:t>
            </w:r>
            <w:r w:rsidR="006F09DA" w:rsidRPr="00DF68B4">
              <w:rPr>
                <w:rFonts w:asciiTheme="majorHAnsi" w:hAnsiTheme="majorHAnsi"/>
                <w:b/>
                <w:sz w:val="18"/>
                <w:szCs w:val="18"/>
              </w:rPr>
              <w:t>ísica:</w:t>
            </w:r>
          </w:p>
          <w:p w14:paraId="1202ED9D" w14:textId="154534D9" w:rsidR="006F09DA" w:rsidRPr="00DF68B4" w:rsidRDefault="006A1062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Educação V</w:t>
            </w:r>
            <w:r w:rsidR="006F09DA" w:rsidRPr="00DF68B4">
              <w:rPr>
                <w:rFonts w:asciiTheme="majorHAnsi" w:hAnsiTheme="majorHAnsi"/>
                <w:b/>
                <w:sz w:val="18"/>
                <w:szCs w:val="18"/>
              </w:rPr>
              <w:t>isual:</w:t>
            </w:r>
          </w:p>
          <w:p w14:paraId="15624846" w14:textId="77777777" w:rsidR="006F09DA" w:rsidRPr="00DF68B4" w:rsidRDefault="006F09DA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Geografia:</w:t>
            </w:r>
          </w:p>
          <w:p w14:paraId="767B6DA8" w14:textId="03295786" w:rsidR="006F09DA" w:rsidRPr="00DF68B4" w:rsidRDefault="006A1062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Língua P</w:t>
            </w:r>
            <w:r w:rsidR="006F09DA" w:rsidRPr="00DF68B4">
              <w:rPr>
                <w:rFonts w:asciiTheme="majorHAnsi" w:hAnsiTheme="majorHAnsi"/>
                <w:b/>
                <w:sz w:val="18"/>
                <w:szCs w:val="18"/>
              </w:rPr>
              <w:t>ortuguesa:</w:t>
            </w:r>
          </w:p>
          <w:p w14:paraId="782ACA20" w14:textId="77777777" w:rsidR="006F09DA" w:rsidRPr="00DF68B4" w:rsidRDefault="006F09DA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1C9936D2" w14:textId="77777777" w:rsidR="006F09DA" w:rsidRPr="00DF68B4" w:rsidRDefault="006F09DA" w:rsidP="006F09D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</w:tcPr>
          <w:p w14:paraId="3CD8E03E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1F8F13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Substâncias e misturas de substâncias; estados físicos e mudanças de estado; formas de energia; fontes de energia.</w:t>
            </w:r>
          </w:p>
          <w:p w14:paraId="40C0C2F7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Regras gerais de segurança.</w:t>
            </w:r>
          </w:p>
          <w:p w14:paraId="3E044942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Fotografia; desenho livre.</w:t>
            </w:r>
          </w:p>
          <w:p w14:paraId="457B466A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Representações cartográficas (cartas de risco sísmico, de distribuição de sismos e vulcões, etc.).</w:t>
            </w:r>
          </w:p>
          <w:p w14:paraId="25491764" w14:textId="77777777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Recolha de notícias sobre sismos e atividade vulcânica.</w:t>
            </w:r>
          </w:p>
          <w:p w14:paraId="00132ABA" w14:textId="640F5E5C" w:rsidR="006F09DA" w:rsidRPr="00DF68B4" w:rsidRDefault="006F09DA" w:rsidP="006F09DA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Gráficos (análise e interpretação de gráficos relativos a sismos e a vulcões)</w:t>
            </w:r>
            <w:r w:rsidR="006A1062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14:paraId="00852E18" w14:textId="77777777" w:rsidR="00DF68B4" w:rsidRDefault="00DF68B4" w:rsidP="00136D28">
      <w:pPr>
        <w:rPr>
          <w:rFonts w:ascii="Trebuchet MS" w:eastAsiaTheme="minorEastAsia" w:hAnsi="Trebuchet MS" w:cstheme="minorBidi"/>
          <w:color w:val="800000"/>
          <w:sz w:val="36"/>
          <w:szCs w:val="36"/>
          <w:lang w:eastAsia="ja-JP"/>
        </w:rPr>
      </w:pPr>
      <w:bookmarkStart w:id="0" w:name="_GoBack"/>
      <w:bookmarkEnd w:id="0"/>
    </w:p>
    <w:sectPr w:rsidR="00DF68B4" w:rsidSect="005E09D5">
      <w:footerReference w:type="default" r:id="rId8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36D28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16</cp:revision>
  <dcterms:created xsi:type="dcterms:W3CDTF">2011-12-19T05:10:00Z</dcterms:created>
  <dcterms:modified xsi:type="dcterms:W3CDTF">2012-02-15T17:13:00Z</dcterms:modified>
</cp:coreProperties>
</file>